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29"/>
        <w:jc w:val="center"/>
        <w:rPr>
          <w:rFonts w:hint="eastAsia" w:ascii="宋体" w:hAnsi="宋体"/>
          <w:b/>
          <w:color w:val="000000"/>
          <w:sz w:val="72"/>
          <w:highlight w:val="none"/>
        </w:rPr>
      </w:pPr>
      <w:r>
        <w:rPr>
          <w:rFonts w:hint="eastAsia" w:ascii="宋体" w:hAnsi="宋体"/>
          <w:b/>
          <w:color w:val="000000"/>
          <w:sz w:val="72"/>
          <w:highlight w:val="none"/>
        </w:rPr>
      </w:r>
      <w:r/>
    </w:p>
    <w:p>
      <w:pPr>
        <w:pStyle w:val="82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JSZC-320506-SJDX-C2026-0001</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采购项目：吴中区人居环境和空间品质提升专项体检全过程规划咨询</w:t>
      </w:r>
      <w:r>
        <w:rPr>
          <w:rFonts w:hint="eastAsia" w:ascii="宋体" w:hAnsi="宋体"/>
          <w:b/>
          <w:color w:val="000000"/>
          <w:sz w:val="30"/>
          <w:highlight w:val="none"/>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采购单位：苏州市吴中区城乡规划编制研究中心</w:t>
      </w:r>
      <w:r>
        <w:rPr>
          <w:rFonts w:hint="eastAsia" w:ascii="宋体" w:hAnsi="宋体"/>
          <w:b/>
          <w:color w:val="000000"/>
          <w:sz w:val="30"/>
          <w:highlight w:val="none"/>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82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29"/>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嘉德信工程管理(苏州)有限公司</w:t>
      </w:r>
      <w:r>
        <w:rPr>
          <w:rFonts w:hint="eastAsia" w:ascii="宋体" w:hAnsi="宋体"/>
          <w:b/>
          <w:color w:val="000000"/>
          <w:sz w:val="30"/>
          <w:highlight w:val="none"/>
        </w:rPr>
      </w:r>
      <w:r/>
    </w:p>
    <w:p>
      <w:pPr>
        <w:pStyle w:val="829"/>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一</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829"/>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br w:type="page" w:clear="all"/>
      </w:r>
      <w:r>
        <w:rPr>
          <w:color w:val="000000"/>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829"/>
        <w:tabs>
          <w:tab w:val="left" w:pos="315" w:leader="none"/>
          <w:tab w:val="center" w:pos="4153" w:leader="none"/>
        </w:tabs>
        <w:rPr>
          <w:rFonts w:hint="eastAsia" w:ascii="黑体" w:eastAsia="黑体"/>
          <w:color w:val="000000"/>
          <w:sz w:val="44"/>
          <w:szCs w:val="44"/>
          <w:highlight w:val="none"/>
        </w:rPr>
      </w:pPr>
      <w:r>
        <w:rPr>
          <w:rFonts w:hint="eastAsia" w:ascii="黑体" w:eastAsia="黑体"/>
          <w:color w:val="000000"/>
          <w:sz w:val="44"/>
          <w:szCs w:val="44"/>
          <w:highlight w:val="none"/>
        </w:rPr>
        <w:t xml:space="preserve">二、采购文件</w:t>
      </w:r>
      <w:r>
        <w:rPr>
          <w:rFonts w:hint="eastAsia"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829"/>
        <w:rPr>
          <w:color w:val="000000"/>
          <w:highlight w:val="none"/>
        </w:rPr>
      </w:pPr>
      <w:r>
        <w:rPr>
          <w:color w:val="000000"/>
          <w:highlight w:val="none"/>
        </w:rPr>
      </w:r>
      <w:r/>
    </w:p>
    <w:p>
      <w:pPr>
        <w:pStyle w:val="829"/>
        <w:jc w:val="center"/>
        <w:rPr>
          <w:rFonts w:ascii="sans-serif" w:hAnsi="sans-serif" w:eastAsia="sans-serif" w:cs="sans-serif"/>
          <w:color w:val="000000"/>
          <w:highlight w:val="none"/>
        </w:rPr>
      </w:pPr>
      <w:r>
        <w:rPr>
          <w:color w:val="000000"/>
          <w:highlight w:val="none"/>
        </w:rPr>
        <w:br w:type="page" w:clear="all"/>
      </w:r>
      <w:r>
        <w:rPr>
          <w:rStyle w:val="846"/>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吴中区人居环境和空间品质提升专项体检全过程规划咨询采购项目的潜在供应商应在苏采云政府采购一体化平台系统获取采购文件，并于</w:t>
      </w:r>
      <w:r>
        <w:rPr>
          <w:rFonts w:hint="eastAsia" w:ascii="宋体" w:hAnsi="宋体" w:cs="宋体"/>
          <w:color w:val="000000"/>
          <w:sz w:val="24"/>
          <w:highlight w:val="none"/>
          <w:lang w:eastAsia="zh-CN"/>
        </w:rPr>
        <w:t xml:space="preserve">2026-1-21 14:30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JSZC-320506-SJDX-C2026-0001</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项目名称：吴中区人居环境和空间品质提升专项体检全过程规划咨询</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预算金额：人民币壹佰零壹万叁仟元整（￥1013000.00元）</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最高限价：人民币壹佰零壹万叁仟元整（￥1013000.00元）</w:t>
      </w:r>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随着经济社会发展与人民生活水平显著提高，居民对基本生活配套设施的品质需求持续升级，持续推进城市品质提升和人居环境优化成为重要工作重点。为全面践行党的二十大报告提出的 “人民城市人民建、人民城市为人民” 理念，深入贯彻 2025 年中央城市工作会议关于建设宜居城市、智慧城市等重点任务部署，并积极响应《市政府办公室关于印发苏州市人居环境和空间品质提升行动方案的通知（苏府办﹝2024﹞178 号）》中建立健全工作机制、成立专项工作专班、建立定期体检报告制度的要求，特开展吴中区人居环境和空间品质提升专项体检工作。</w:t>
      </w:r>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026</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本项目不接受联合体响应。</w:t>
      </w:r>
      <w:bookmarkStart w:id="0" w:name="_Toc35393630"/>
      <w:r/>
      <w:bookmarkStart w:id="1" w:name="_Toc28359090"/>
      <w:r/>
      <w:bookmarkStart w:id="2" w:name="_Toc35393799"/>
      <w:r/>
      <w:bookmarkStart w:id="3" w:name="_Toc28359013"/>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bCs/>
          <w:color w:val="000000"/>
          <w:sz w:val="24"/>
          <w:highlight w:val="none"/>
        </w:rPr>
        <w:t xml:space="preserve">：无</w:t>
      </w:r>
      <w:r>
        <w:rPr>
          <w:rFonts w:hint="eastAsia" w:ascii="宋体" w:hAnsi="宋体" w:cs="宋体"/>
          <w:bCs/>
          <w:color w:val="000000"/>
          <w:sz w:val="24"/>
          <w:highlight w:val="none"/>
        </w:rPr>
      </w:r>
      <w:r/>
    </w:p>
    <w:p>
      <w:pPr>
        <w:pStyle w:val="829"/>
        <w:ind w:firstLine="480"/>
        <w:rPr>
          <w:rFonts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（三）本项目的特定资格要求：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1.资质：具有城乡规划编制乙级及以上资质证书。</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3.注：</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bookmarkEnd w:id="4"/>
      <w:r/>
      <w:bookmarkEnd w:id="5"/>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时间：自采购文件公告发布之日起5个工作日</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2026-1-21 14:30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2026-1-21 14:30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5.政府采购监管部门监督电话：0512-65283947。</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bookmarkStart w:id="6" w:name="_Toc28359018"/>
      <w:r/>
      <w:bookmarkStart w:id="7" w:name="_Toc28359095"/>
      <w:r/>
      <w:bookmarkStart w:id="8" w:name="_Toc35393805"/>
      <w:r/>
      <w:bookmarkStart w:id="9" w:name="_Toc35393636"/>
      <w:r/>
      <w:bookmarkStart w:id="10" w:name="_Toc35393637"/>
      <w:r/>
      <w:bookmarkStart w:id="11" w:name="_Toc28359019"/>
      <w:r/>
      <w:bookmarkStart w:id="12" w:name="_Toc28359096"/>
      <w:r/>
      <w:bookmarkStart w:id="13" w:name="_Toc35393806"/>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rPr>
          <w:rFonts w:hint="eastAsia" w:ascii="宋体" w:hAnsi="宋体" w:cs="宋体"/>
          <w:b/>
          <w:bCs/>
          <w:color w:val="000000"/>
          <w:sz w:val="24"/>
          <w:highlight w:val="none"/>
        </w:rPr>
        <w:t xml:space="preserve">八、凡对本次采购提出询问，请按以下方式联系。</w:t>
      </w:r>
      <w:bookmarkEnd w:id="6"/>
      <w:r/>
      <w:bookmarkEnd w:id="7"/>
      <w:r/>
      <w:bookmarkEnd w:id="8"/>
      <w:r/>
      <w:bookmarkEnd w:id="9"/>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1.采购单位信息</w:t>
      </w:r>
      <w:bookmarkEnd w:id="10"/>
      <w:r/>
      <w:bookmarkEnd w:id="11"/>
      <w:r/>
      <w:bookmarkEnd w:id="12"/>
      <w:r/>
      <w:bookmarkEnd w:id="13"/>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bookmarkStart w:id="14" w:name="_Toc28359097"/>
      <w:r/>
      <w:bookmarkStart w:id="15" w:name="_Toc28359020"/>
      <w:r/>
      <w:bookmarkStart w:id="16" w:name="_Toc35393638"/>
      <w:r/>
      <w:bookmarkStart w:id="17" w:name="_Toc35393807"/>
      <w:r>
        <w:rPr>
          <w:rFonts w:hint="eastAsia" w:ascii="宋体" w:hAnsi="宋体" w:cs="宋体"/>
          <w:bCs/>
          <w:color w:val="000000"/>
          <w:sz w:val="24"/>
          <w:highlight w:val="none"/>
        </w:rPr>
        <w:t xml:space="preserve">名    称：苏州市吴中区城乡规划编制研究中心</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地    址：</w:t>
      </w:r>
      <w:r>
        <w:rPr>
          <w:rFonts w:hint="eastAsia" w:ascii="宋体" w:hAnsi="宋体" w:cs="宋体"/>
          <w:color w:val="000000"/>
          <w:sz w:val="24"/>
          <w:highlight w:val="none"/>
        </w:rPr>
        <w:t xml:space="preserve">苏州市吴中经济开发区越溪街道苏街117号</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联系人：钱幽兰</w:t>
      </w:r>
      <w:r>
        <w:rPr>
          <w:rFonts w:hint="eastAsia" w:ascii="宋体" w:hAnsi="宋体" w:cs="宋体"/>
          <w:color w:val="000000"/>
          <w:sz w:val="24"/>
          <w:highlight w:val="none"/>
        </w:rPr>
      </w:r>
      <w:r/>
    </w:p>
    <w:p>
      <w:pPr>
        <w:pStyle w:val="829"/>
        <w:ind w:firstLine="480"/>
        <w:rPr>
          <w:rFonts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联系电话：0512-</w:t>
      </w:r>
      <w:r>
        <w:rPr>
          <w:rFonts w:hint="eastAsia" w:ascii="宋体" w:hAnsi="宋体" w:cs="宋体"/>
          <w:color w:val="000000"/>
          <w:sz w:val="24"/>
          <w:highlight w:val="none"/>
          <w:lang w:val="en-US" w:eastAsia="zh-CN"/>
        </w:rPr>
        <w:t xml:space="preserve">68830597</w:t>
      </w:r>
      <w:r>
        <w:rPr>
          <w:rFonts w:ascii="宋体" w:hAnsi="宋体" w:eastAsia="宋体" w:cs="宋体"/>
          <w:bCs/>
          <w:color w:val="000000"/>
          <w:sz w:val="24"/>
          <w:highlight w:val="none"/>
          <w:lang w:val="en-US" w:eastAsia="zh-CN"/>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称：嘉德信工程管理(苏州)有限公司</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址：苏州市吴中区苏蠡路81号苏蠡商务大厦1308室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联系方式：0512-67216121</w:t>
      </w:r>
      <w:bookmarkStart w:id="18" w:name="_Toc35393808"/>
      <w:r/>
      <w:bookmarkStart w:id="19" w:name="_Toc35393639"/>
      <w:r/>
      <w:bookmarkStart w:id="20" w:name="_Toc28359021"/>
      <w:r/>
      <w:bookmarkStart w:id="21" w:name="_Toc28359098"/>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项目联系人：顾王旭、郑冬</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话：0512-67216121</w:t>
      </w:r>
      <w:r>
        <w:rPr>
          <w:rFonts w:hint="eastAsia" w:ascii="宋体" w:hAnsi="宋体" w:cs="宋体"/>
          <w:color w:val="000000"/>
          <w:sz w:val="24"/>
          <w:highlight w:val="none"/>
        </w:rPr>
      </w:r>
      <w:r/>
    </w:p>
    <w:p>
      <w:pPr>
        <w:pStyle w:val="829"/>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29"/>
        <w:jc w:val="center"/>
        <w:rPr>
          <w:rFonts w:hint="eastAsia" w:ascii="sans-serif" w:hAnsi="sans-serif" w:cs="sans-serif"/>
          <w:color w:val="000000"/>
          <w:highlight w:val="none"/>
        </w:rPr>
      </w:pPr>
      <w:r>
        <w:rPr>
          <w:color w:val="000000"/>
          <w:highlight w:val="none"/>
        </w:rPr>
        <w:br w:type="page" w:clear="all"/>
      </w:r>
      <w:r>
        <w:rPr>
          <w:rStyle w:val="846"/>
          <w:rFonts w:hint="eastAsia" w:ascii="宋体" w:hAnsi="宋体" w:cs="宋体"/>
          <w:color w:val="000000"/>
          <w:sz w:val="43"/>
          <w:szCs w:val="43"/>
          <w:highlight w:val="none"/>
        </w:rPr>
        <w:t xml:space="preserve">第二章  采购文件</w:t>
      </w:r>
      <w:r>
        <w:rPr>
          <w:rFonts w:hint="eastAsia" w:ascii="sans-serif" w:hAnsi="sans-serif" w:cs="sans-serif"/>
          <w:color w:val="000000"/>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苏州市吴中区城乡规划编制研究中心的委托，嘉德信工程管理(苏州)有限公司对其所需采购的吴中区人居环境和空间品质提升专项体检全过程规划咨询在国内组织竞争性磋商采购。欢迎符合磋商采购文件资格条件的各供应商前来参加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JSZC-320506-SJDX-C2026-0001</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rPr>
        <w:t xml:space="preserve">吴中区人居环境和空间品质提升专项体检全过程规划咨询</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rPr>
        <w:t xml:space="preserve">人民币壹佰零壹万叁仟元整（￥1013000.00元）</w:t>
      </w:r>
      <w:r>
        <w:rPr>
          <w:rFonts w:hint="eastAsia" w:ascii="宋体" w:hAnsi="宋体" w:cs="宋体"/>
          <w:color w:val="000000"/>
          <w:szCs w:val="21"/>
          <w:highlight w:val="none"/>
        </w:rPr>
      </w:r>
      <w:r/>
    </w:p>
    <w:p>
      <w:pPr>
        <w:pStyle w:val="835"/>
        <w:ind w:firstLine="845"/>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最高限价：</w:t>
      </w:r>
      <w:r>
        <w:rPr>
          <w:rFonts w:hint="eastAsia" w:ascii="宋体" w:hAnsi="宋体" w:cs="宋体"/>
          <w:color w:val="000000"/>
          <w:sz w:val="21"/>
          <w:szCs w:val="21"/>
          <w:highlight w:val="none"/>
        </w:rPr>
        <w:t xml:space="preserve">人民币壹佰零壹万叁仟元整（￥1013000.00元）</w:t>
      </w:r>
      <w:r>
        <w:rPr>
          <w:rFonts w:hint="eastAsia" w:ascii="宋体" w:hAnsi="宋体" w:cs="宋体"/>
          <w:color w:val="000000"/>
          <w:sz w:val="21"/>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829"/>
        <w:ind w:firstLine="422"/>
        <w:spacing w:line="400" w:lineRule="exact"/>
        <w:rPr>
          <w:rFonts w:hint="eastAsia" w:ascii="宋体" w:hAnsi="宋体" w:cs="宋体"/>
          <w:b/>
          <w:color w:val="000000"/>
          <w:szCs w:val="21"/>
          <w:highlight w:val="none"/>
        </w:rPr>
      </w:pPr>
      <w:r/>
      <w:bookmarkEnd w:id="23"/>
      <w:r>
        <w:rPr>
          <w:rFonts w:hint="eastAsia" w:ascii="宋体" w:hAnsi="宋体" w:cs="宋体"/>
          <w:b/>
          <w:color w:val="000000"/>
          <w:szCs w:val="21"/>
          <w:highlight w:val="none"/>
        </w:rPr>
        <w:t xml:space="preserve">（一）项目地点：</w:t>
      </w:r>
      <w:r>
        <w:rPr>
          <w:rFonts w:hint="eastAsia" w:ascii="宋体" w:hAnsi="宋体" w:cs="宋体"/>
          <w:b/>
          <w:color w:val="000000"/>
          <w:szCs w:val="21"/>
          <w:highlight w:val="none"/>
        </w:rPr>
      </w:r>
      <w:r/>
    </w:p>
    <w:p>
      <w:pPr>
        <w:pStyle w:val="829"/>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随着经济社会发展与人民生活水平显著提高，居民对基本生活配套设施的品质需求持续升级，持续推进城市品质提升和人居环境优化成为重要工作重点。为全面践行党的二十大报告提出的 “人民城市人民建、人民城市为人民” 理念，深入贯彻 2025 年中央城市工作会议关于建设宜居城市、智慧城市等重点任务部署，并积极响应《市政府办公室关于印发苏州市人居环境和空间品质提升行动方案的通知（苏府办﹝2024﹞178 号）》中建立健全工作机制、成立专项工作专班、建立定期体检报告制度的要求，特开展吴中区人居环境和空间品质提升专项体检工作。</w:t>
      </w:r>
      <w:r>
        <w:rPr>
          <w:rFonts w:hint="eastAsia" w:ascii="宋体" w:hAnsi="宋体" w:cs="宋体"/>
          <w:bCs/>
          <w:color w:val="000000"/>
          <w:szCs w:val="21"/>
          <w:highlight w:val="none"/>
        </w:rPr>
      </w:r>
      <w:r/>
    </w:p>
    <w:p>
      <w:pPr>
        <w:pStyle w:val="834"/>
        <w:ind w:firstLine="422"/>
        <w:spacing w:after="0"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（二）体检范围</w:t>
      </w:r>
      <w:r>
        <w:rPr>
          <w:rFonts w:hint="eastAsia" w:ascii="宋体" w:hAnsi="宋体" w:cs="宋体"/>
          <w:b/>
          <w:color w:val="000000"/>
          <w:szCs w:val="21"/>
          <w:highlight w:val="none"/>
        </w:rPr>
      </w:r>
      <w:r/>
    </w:p>
    <w:p>
      <w:pPr>
        <w:pStyle w:val="834"/>
        <w:ind w:firstLine="420"/>
        <w:spacing w:after="0"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本次体检范围为吴中区全域，结合市、区实际管理要求，围绕中心城区、太湖新城等重点地区，以及历史文化、毗邻地带、环太湖一号公路等重点工作开展。</w:t>
      </w:r>
      <w:r>
        <w:rPr>
          <w:rFonts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（三）体检研究依据</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《中华人民共和国城乡规划法》(2019修正)</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《江苏省城乡规划条例》</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《市政府办公室关于印发苏州市人居环境和空间品质提升行动方案的通知（苏府办﹝2024﹞178号）》</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国家、省、市其他关于城市体检的文件及技术规定</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（四）工作内容</w:t>
      </w:r>
      <w:r>
        <w:rPr>
          <w:rFonts w:hint="eastAsia" w:ascii="宋体" w:hAnsi="宋体" w:cs="宋体"/>
          <w:b/>
          <w:color w:val="000000"/>
          <w:szCs w:val="21"/>
          <w:highlight w:val="none"/>
        </w:rPr>
      </w:r>
      <w:r/>
    </w:p>
    <w:p>
      <w:pPr>
        <w:pStyle w:val="829"/>
        <w:ind w:firstLine="420"/>
        <w:spacing w:line="360" w:lineRule="auto"/>
        <w:widowControl/>
        <w:rPr>
          <w:rFonts w:ascii="Segoe UI" w:hAnsi="Segoe UI" w:cs="Segoe UI"/>
          <w:color w:val="000000"/>
          <w:highlight w:val="none"/>
          <w:shd w:val="clear" w:color="auto" w:fill="ffffff"/>
        </w:rPr>
      </w:pPr>
      <w:r>
        <w:rPr>
          <w:rFonts w:hint="eastAsia" w:ascii="Segoe UI" w:hAnsi="Segoe UI" w:cs="Segoe UI"/>
          <w:color w:val="000000"/>
          <w:highlight w:val="none"/>
          <w:shd w:val="clear" w:color="auto" w:fill="ffffff"/>
        </w:rPr>
        <w:t xml:space="preserve">1、</w:t>
      </w:r>
      <w:r>
        <w:rPr>
          <w:rFonts w:ascii="Segoe UI" w:hAnsi="Segoe UI" w:cs="Segoe UI"/>
          <w:color w:val="000000"/>
          <w:highlight w:val="none"/>
          <w:shd w:val="clear" w:color="auto" w:fill="ffffff"/>
        </w:rPr>
        <w:t xml:space="preserve">组建人员结构合理、适配工作需求的专业体检师队伍；</w:t>
      </w:r>
      <w:r>
        <w:rPr>
          <w:rFonts w:ascii="Segoe UI" w:hAnsi="Segoe UI" w:cs="Segoe UI"/>
          <w:color w:val="000000"/>
          <w:highlight w:val="none"/>
          <w:shd w:val="clear" w:color="auto" w:fill="ffffff"/>
        </w:rPr>
      </w:r>
      <w:r/>
    </w:p>
    <w:p>
      <w:pPr>
        <w:pStyle w:val="829"/>
        <w:ind w:firstLine="420"/>
        <w:spacing w:line="360" w:lineRule="auto"/>
        <w:widowControl/>
        <w:rPr>
          <w:rFonts w:ascii="Segoe UI" w:hAnsi="Segoe UI" w:cs="Segoe UI"/>
          <w:color w:val="000000"/>
          <w:highlight w:val="none"/>
          <w:shd w:val="clear" w:color="auto" w:fill="ffffff"/>
        </w:rPr>
      </w:pPr>
      <w:r>
        <w:rPr>
          <w:rFonts w:ascii="Segoe UI" w:hAnsi="Segoe UI" w:cs="Segoe UI"/>
          <w:color w:val="000000"/>
          <w:highlight w:val="none"/>
          <w:shd w:val="clear" w:color="auto" w:fill="ffffff"/>
        </w:rPr>
        <w:t xml:space="preserve">2</w:t>
      </w:r>
      <w:r>
        <w:rPr>
          <w:rFonts w:hint="eastAsia" w:ascii="Segoe UI" w:hAnsi="Segoe UI" w:cs="Segoe UI"/>
          <w:color w:val="000000"/>
          <w:highlight w:val="none"/>
          <w:shd w:val="clear" w:color="auto" w:fill="ffffff"/>
        </w:rPr>
        <w:t xml:space="preserve">、</w:t>
      </w:r>
      <w:r>
        <w:rPr>
          <w:rFonts w:ascii="Segoe UI" w:hAnsi="Segoe UI" w:cs="Segoe UI"/>
          <w:color w:val="000000"/>
          <w:highlight w:val="none"/>
          <w:shd w:val="clear" w:color="auto" w:fill="ffffff"/>
        </w:rPr>
        <w:t xml:space="preserve">依据市</w:t>
      </w:r>
      <w:r>
        <w:rPr>
          <w:rFonts w:hint="eastAsia" w:ascii="Segoe UI" w:hAnsi="Segoe UI" w:cs="Segoe UI"/>
          <w:color w:val="000000"/>
          <w:highlight w:val="none"/>
          <w:shd w:val="clear" w:color="auto" w:fill="ffffff"/>
        </w:rPr>
        <w:t xml:space="preserve">级</w:t>
      </w:r>
      <w:r>
        <w:rPr>
          <w:rFonts w:ascii="Segoe UI" w:hAnsi="Segoe UI" w:cs="Segoe UI"/>
          <w:color w:val="000000"/>
          <w:highlight w:val="none"/>
          <w:shd w:val="clear" w:color="auto" w:fill="ffffff"/>
        </w:rPr>
        <w:t xml:space="preserve">、区</w:t>
      </w:r>
      <w:r>
        <w:rPr>
          <w:rFonts w:hint="eastAsia" w:ascii="Segoe UI" w:hAnsi="Segoe UI" w:cs="Segoe UI"/>
          <w:color w:val="000000"/>
          <w:highlight w:val="none"/>
          <w:shd w:val="clear" w:color="auto" w:fill="ffffff"/>
        </w:rPr>
        <w:t xml:space="preserve">级</w:t>
      </w:r>
      <w:r>
        <w:rPr>
          <w:rFonts w:ascii="Segoe UI" w:hAnsi="Segoe UI" w:cs="Segoe UI"/>
          <w:color w:val="000000"/>
          <w:highlight w:val="none"/>
          <w:shd w:val="clear" w:color="auto" w:fill="ffffff"/>
        </w:rPr>
        <w:t xml:space="preserve">工作部署，确定月度体检主题并开展</w:t>
      </w:r>
      <w:r>
        <w:rPr>
          <w:rFonts w:hint="eastAsia" w:ascii="Segoe UI" w:hAnsi="Segoe UI" w:cs="Segoe UI"/>
          <w:color w:val="000000"/>
          <w:highlight w:val="none"/>
          <w:shd w:val="clear" w:color="auto" w:fill="ffffff"/>
        </w:rPr>
        <w:t xml:space="preserve">月度体检或相应的专题体检</w:t>
      </w:r>
      <w:r>
        <w:rPr>
          <w:rFonts w:ascii="Segoe UI" w:hAnsi="Segoe UI" w:cs="Segoe UI"/>
          <w:color w:val="000000"/>
          <w:highlight w:val="none"/>
          <w:shd w:val="clear" w:color="auto" w:fill="ffffff"/>
        </w:rPr>
        <w:t xml:space="preserve">；</w:t>
      </w:r>
      <w:r>
        <w:rPr>
          <w:rFonts w:ascii="Segoe UI" w:hAnsi="Segoe UI" w:cs="Segoe UI"/>
          <w:color w:val="000000"/>
          <w:highlight w:val="none"/>
          <w:shd w:val="clear" w:color="auto" w:fill="ffffff"/>
        </w:rPr>
      </w:r>
      <w:r/>
    </w:p>
    <w:p>
      <w:pPr>
        <w:pStyle w:val="829"/>
        <w:ind w:firstLine="420"/>
        <w:spacing w:line="360" w:lineRule="auto"/>
        <w:widowControl/>
        <w:rPr>
          <w:rFonts w:ascii="Segoe UI" w:hAnsi="Segoe UI" w:cs="Segoe UI"/>
          <w:color w:val="000000"/>
          <w:highlight w:val="none"/>
          <w:shd w:val="clear" w:color="auto" w:fill="ffffff"/>
        </w:rPr>
      </w:pPr>
      <w:r>
        <w:rPr>
          <w:rFonts w:hint="eastAsia" w:ascii="Segoe UI" w:hAnsi="Segoe UI" w:cs="Segoe UI"/>
          <w:color w:val="000000"/>
          <w:highlight w:val="none"/>
          <w:shd w:val="clear" w:color="auto" w:fill="ffffff"/>
        </w:rPr>
        <w:t xml:space="preserve">3、</w:t>
      </w:r>
      <w:r>
        <w:rPr>
          <w:rFonts w:ascii="Segoe UI" w:hAnsi="Segoe UI" w:cs="Segoe UI"/>
          <w:color w:val="000000"/>
          <w:highlight w:val="none"/>
          <w:shd w:val="clear" w:color="auto" w:fill="ffffff"/>
        </w:rPr>
        <w:t xml:space="preserve">对体检发现的问题进行汇总、梳理，形成整改建议</w:t>
      </w:r>
      <w:r>
        <w:rPr>
          <w:rFonts w:hint="eastAsia" w:ascii="Segoe UI" w:hAnsi="Segoe UI" w:cs="Segoe UI"/>
          <w:color w:val="000000"/>
          <w:highlight w:val="none"/>
          <w:shd w:val="clear" w:color="auto" w:fill="ffffff"/>
        </w:rPr>
        <w:t xml:space="preserve">和项目储备库</w:t>
      </w:r>
      <w:r>
        <w:rPr>
          <w:rFonts w:ascii="Segoe UI" w:hAnsi="Segoe UI" w:cs="Segoe UI"/>
          <w:color w:val="000000"/>
          <w:highlight w:val="none"/>
          <w:shd w:val="clear" w:color="auto" w:fill="ffffff"/>
        </w:rPr>
        <w:t xml:space="preserve">，</w:t>
      </w:r>
      <w:r>
        <w:rPr>
          <w:rFonts w:hint="eastAsia" w:ascii="Segoe UI" w:hAnsi="Segoe UI" w:cs="Segoe UI"/>
          <w:color w:val="000000"/>
          <w:highlight w:val="none"/>
          <w:shd w:val="clear" w:color="auto" w:fill="ffffff"/>
        </w:rPr>
        <w:t xml:space="preserve">编制全面、规范的体检报告</w:t>
      </w:r>
      <w:r>
        <w:rPr>
          <w:rFonts w:ascii="Segoe UI" w:hAnsi="Segoe UI" w:cs="Segoe UI"/>
          <w:color w:val="000000"/>
          <w:highlight w:val="none"/>
          <w:shd w:val="clear" w:color="auto" w:fill="ffffff"/>
        </w:rPr>
        <w:t xml:space="preserve">；</w:t>
      </w:r>
      <w:r>
        <w:rPr>
          <w:rFonts w:ascii="Segoe UI" w:hAnsi="Segoe UI" w:cs="Segoe UI"/>
          <w:color w:val="000000"/>
          <w:highlight w:val="none"/>
          <w:shd w:val="clear" w:color="auto" w:fill="ffffff"/>
        </w:rPr>
      </w:r>
      <w:r/>
    </w:p>
    <w:p>
      <w:pPr>
        <w:pStyle w:val="829"/>
        <w:ind w:firstLine="420"/>
        <w:spacing w:line="360" w:lineRule="auto"/>
        <w:widowControl/>
        <w:rPr>
          <w:rFonts w:ascii="宋体" w:hAnsi="宋体" w:cs="宋体"/>
          <w:bCs/>
          <w:color w:val="000000"/>
          <w:szCs w:val="21"/>
          <w:highlight w:val="none"/>
        </w:rPr>
      </w:pPr>
      <w:r>
        <w:rPr>
          <w:rFonts w:hint="eastAsia" w:ascii="Segoe UI" w:hAnsi="Segoe UI" w:cs="Segoe UI"/>
          <w:color w:val="000000"/>
          <w:highlight w:val="none"/>
          <w:shd w:val="clear" w:color="auto" w:fill="ffffff"/>
        </w:rPr>
        <w:t xml:space="preserve">4、</w:t>
      </w:r>
      <w:r>
        <w:rPr>
          <w:rFonts w:ascii="Segoe UI" w:hAnsi="Segoe UI" w:cs="Segoe UI"/>
          <w:color w:val="000000"/>
          <w:highlight w:val="none"/>
          <w:shd w:val="clear" w:color="auto" w:fill="ffffff"/>
        </w:rPr>
        <w:t xml:space="preserve">按任务节点配合完成体检活动策划、部门征询、区镇培训等相关工作，提供技术支持，保障体检工作高效推进。</w:t>
      </w:r>
      <w:r>
        <w:rPr>
          <w:rFonts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（五）成果要求</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1、服务成果须符合本项目合同规定、采购单位有关要求及国家、省市相关标准、规范。</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2、成果内容应包括月度体检报告</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年度体检报告、</w:t>
      </w:r>
      <w:r>
        <w:rPr>
          <w:rFonts w:hint="eastAsia" w:ascii="宋体" w:hAnsi="宋体" w:cs="宋体"/>
          <w:bCs/>
          <w:color w:val="000000"/>
          <w:szCs w:val="21"/>
          <w:highlight w:val="none"/>
        </w:rPr>
        <w:t xml:space="preserve">专题体检报告</w:t>
      </w:r>
      <w:r>
        <w:rPr>
          <w:rFonts w:hint="eastAsia" w:ascii="宋体" w:hAnsi="宋体" w:cs="宋体"/>
          <w:bCs/>
          <w:color w:val="000000"/>
          <w:szCs w:val="21"/>
          <w:highlight w:val="none"/>
          <w:lang w:val="en-US" w:eastAsia="zh-CN"/>
        </w:rPr>
        <w:t xml:space="preserve">等</w:t>
      </w:r>
      <w:r>
        <w:rPr>
          <w:rFonts w:hint="eastAsia" w:ascii="宋体" w:hAnsi="宋体" w:cs="宋体"/>
          <w:bCs/>
          <w:color w:val="000000"/>
          <w:szCs w:val="21"/>
          <w:highlight w:val="none"/>
        </w:rPr>
        <w:t xml:space="preserve">，以PPT</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PDF</w:t>
      </w:r>
      <w:r>
        <w:rPr>
          <w:rFonts w:hint="eastAsia" w:ascii="宋体" w:hAnsi="宋体" w:cs="宋体"/>
          <w:bCs/>
          <w:color w:val="000000"/>
          <w:szCs w:val="21"/>
          <w:highlight w:val="none"/>
          <w:lang w:val="en-US" w:eastAsia="zh-CN"/>
        </w:rPr>
        <w:t xml:space="preserve">等</w:t>
      </w:r>
      <w:r>
        <w:rPr>
          <w:rFonts w:hint="eastAsia" w:ascii="宋体" w:hAnsi="宋体" w:cs="宋体"/>
          <w:bCs/>
          <w:color w:val="000000"/>
          <w:szCs w:val="21"/>
          <w:highlight w:val="none"/>
        </w:rPr>
        <w:t xml:space="preserve">形式提交。</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（六）其他要求</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1、设计署名权归中标单位所有，版权归采购单位所有，采购单位有权在设计审定后公开展示设计成果，并通过传播、媒介、专业杂志、书刊及其他形式介绍、展示、评价设计方案。</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2、本任务书需求解释权归采购单位所有。</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（七）技术情报和资料保密</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1、所收集的原始资料与数据在执行过程中，仅供甲、乙双方使用，项目结束后乙方将其以成果附件的形式一并提交给甲方。</w:t>
      </w:r>
      <w:r>
        <w:rPr>
          <w:rFonts w:hint="eastAsia" w:ascii="宋体" w:hAnsi="宋体" w:cs="宋体"/>
          <w:color w:val="000000"/>
          <w:szCs w:val="21"/>
          <w:highlight w:val="none"/>
        </w:rPr>
      </w:r>
      <w:r/>
    </w:p>
    <w:p>
      <w:pPr>
        <w:pStyle w:val="829"/>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rPr>
          <w:rFonts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1、若工作人员在服务期间内（包括上下班途中）出现的工伤及其他意外事故，均由磋商响应单位自行负责，采购人不承担任何责任。</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响应单位必须遵守《中华人民共和国劳动法》的规定，为采购人提供的服务人员如遇到工资纠纷问题由磋商响应单位自行解决。每天及双休日因工作而产生的加班费用，高温津贴，均由成交单位向服务人员支付，含在响应总报价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勘察现场：为更好地了解现场情况,各供应商可自行至现场进行踏勘,熟悉实际情况，以获得一切可能影响其响应的直接资料。供应商成交后，不得以不完全了解现场情况为理由而向采购人提出任何索赔或加价的要求，对此采购人不承担任何责任并将不作任何答复与考虑。勘察现场费用自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4、对员工进行岗位职责和安全教育，岗位重要内容的保密，加强岗位责任考核，提高服务人员安全意识，提高服务质量。</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5、其他服务要求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（1）成交单位需严格按采购文件规定的时间完成项目的全部工作内容；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（2）如在实施的过程中出现错误、误差，需负责及时更正直至采购单位确认，并经主管部门验收合格，对采购单位提出的问题要及时解决；</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（3）成交单位须按照招标要求和技术标准实施，不得擅自修改；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（4）成交单位在项目进行过程中产生任何安全、损坏等责任事故一律由成交单位自行承担；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（5）成交单位需提供必要的技术培训，协助采购单位完成其他需要成交单位配合的服务；</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（6）项目完成以后，如采购单位有需要成交单位配合的服务，成交单位必须予以配合，协助采购单位完善项目内容；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项目质量必须严格按照国家规范及江苏省、苏州市相应地方规范、采购文件的技术规范的有关要求执行，如果在合同履行过程中有新的国家及行业（部）规范和标准出台的，则成交单位应确保其合同内容达到并符合新的国家及行业（部）规范和标准，因此而增加的费用及风险由成交单位自行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（8）成交单位对服务缺陷不予更正，采购单位有权另请其他单位更正，所发生的费用在合同未付款中扣除。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7、成交单位不得擅自将合同转让或者进行分包。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1、《响应保证承诺书》；</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2、响应第一次报价表；</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3、磋商响应声明；</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4、响应单位有效的《法人营业执照》副本、城乡规划编制乙级及以上资质证书扫描件；</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5、法定代表人授权委托书、法定代表人及授权委托人身份证等证件的扫描件；</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6、响应单位情况表；</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7、服务方案，包括但不限于：</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（1）服务要求偏离表及实施组织方案；</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（2）服务承诺；</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（3）对本次响应的详细说明（响应单位视各自的情况自行编制）；</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（4）其他资料（响应单位认为必要的其他资料）。</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8、《商务条款偏离表》；</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9、类似项目业绩一览表（若有）；</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10、磋商供应商证明其满足磋商供应商资格条件以及采购文件中要求的证书、证明、文件等必须提供的资料，包括但不限于：</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（1）关于资格证明文件的声明函；</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（2）具有良好的商业信誉和健全的财务会计制度（成立年限不足1年的提供资信证明）；</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（3）依法缴纳税收和社会保障资金的相关材料；</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（4）具备履行合同所必需的设备和专业技术能力的书面声明；</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（5）参加政府采购活动前3年内在经营活动中没有重大违法记录的书面声明；</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（6）证明其满足磋商供应商资格条件的其他材料。</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11、中小企业声明函/残疾人福利性单位声明函/监狱企业的证明文件（若为）； </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12、《关于符合本国产品标准的声明函》（若为）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13、</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、采购文件及格式附件要求提供的其他资料。</w:t>
      </w:r>
      <w:r>
        <w:rPr>
          <w:rFonts w:hint="eastAsia" w:ascii="宋体" w:hAnsi="宋体"/>
          <w:color w:val="000000"/>
          <w:szCs w:val="21"/>
          <w:highlight w:val="none"/>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1.1本采购文件仅适用于嘉德信工程管理(苏州)有限公司组织的采购活动。</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1.3本采购文件的解释权属于嘉德信工程管理(苏州)有限公司。</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82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TW"/>
        </w:rPr>
        <w:t xml:space="preserve">5.</w:t>
      </w:r>
      <w:r>
        <w:rPr>
          <w:rFonts w:hint="eastAsia" w:ascii="宋体" w:hAnsi="宋体" w:cs="宋体"/>
          <w:color w:val="000000"/>
          <w:sz w:val="21"/>
          <w:szCs w:val="21"/>
          <w:highlight w:val="none"/>
        </w:rPr>
        <w:t xml:space="preserve">6评审过程中出现下列情形之一的，评标委员会应当启动异常低价投标（响应）审查程序：</w:t>
      </w:r>
      <w:r>
        <w:rPr>
          <w:rFonts w:hint="eastAsia" w:ascii="宋体" w:hAnsi="宋体" w:cs="宋体"/>
          <w:color w:val="000000"/>
          <w:sz w:val="21"/>
          <w:szCs w:val="21"/>
          <w:highlight w:val="none"/>
        </w:rPr>
      </w:r>
      <w:r/>
    </w:p>
    <w:p>
      <w:pPr>
        <w:pStyle w:val="82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①投标（响应）报价低于采购项目预算50%的，即投标（响应）报价&lt;采购项目预算×50%；</w:t>
      </w:r>
      <w:r>
        <w:rPr>
          <w:rFonts w:hint="eastAsia" w:ascii="宋体" w:hAnsi="宋体" w:cs="宋体"/>
          <w:color w:val="000000"/>
          <w:sz w:val="21"/>
          <w:szCs w:val="21"/>
          <w:highlight w:val="none"/>
        </w:rPr>
      </w:r>
      <w:r/>
    </w:p>
    <w:p>
      <w:pPr>
        <w:pStyle w:val="82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②投标（响应）报价低于采购项目最高限价45%的，即投标（响应）报价&lt;采购项目最高限价×45%；</w:t>
      </w:r>
      <w:r>
        <w:rPr>
          <w:rFonts w:hint="eastAsia" w:ascii="宋体" w:hAnsi="宋体" w:cs="宋体"/>
          <w:color w:val="000000"/>
          <w:sz w:val="21"/>
          <w:szCs w:val="21"/>
          <w:highlight w:val="none"/>
        </w:rPr>
      </w:r>
      <w:r/>
    </w:p>
    <w:p>
      <w:pPr>
        <w:pStyle w:val="82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③评标委员会认定的供应商报价过低、有可能影响产品质量或者不能诚信履约的其他情形。</w:t>
      </w:r>
      <w:r>
        <w:rPr>
          <w:rFonts w:hint="eastAsia" w:ascii="宋体" w:hAnsi="宋体" w:cs="宋体"/>
          <w:color w:val="000000"/>
          <w:sz w:val="21"/>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color w:val="000000"/>
          <w:sz w:val="21"/>
          <w:szCs w:val="21"/>
          <w:highlight w:val="none"/>
        </w:rPr>
        <w:t xml:space="preserve">启动异常低价投标（响应）审查后，评标委员会应当要求相关供应商在评标现场合理的时间内（通常为30分钟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（3）不实质性响应采购文件的，响应无效；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（5）不同响应文件制作机器码一致，涉及响应单位的响应文件均为响应无效。</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9.1确定出成交单位后，采购代理机构将以书面形式向成交人发出成交通知书。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9.3采购单位对未成交人不承担解释未成交原因的义务。</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单位有权另请其他单位更正。</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3、成交服务费：在领取成交通知书时按预算金额100万部分1.5%；100-500万部分1.1%收取，即</w:t>
      </w:r>
      <w:r>
        <w:rPr>
          <w:rFonts w:hint="eastAsia" w:ascii="宋体" w:hAnsi="宋体" w:cs="宋体"/>
          <w:color w:val="000000"/>
          <w:szCs w:val="21"/>
          <w:highlight w:val="none"/>
          <w:lang w:val="en-US" w:eastAsia="zh-CN"/>
        </w:rPr>
        <w:t xml:space="preserve">15143</w:t>
      </w:r>
      <w:r>
        <w:rPr>
          <w:rFonts w:hint="eastAsia" w:ascii="宋体" w:hAnsi="宋体" w:cs="宋体"/>
          <w:color w:val="000000"/>
          <w:szCs w:val="21"/>
          <w:highlight w:val="none"/>
        </w:rPr>
        <w:t xml:space="preserve">元向采购代理机构支付服务费。（含在响应报价中）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账号：32250199759100001169</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开户行：中国建设银行股份有限公司苏州吴中经济开发区支行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通讯地址：苏州市吴中区苏蠡路81号苏蠡商务大厦1308室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联系人：顾王旭；联系方式：0512-67216121</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829"/>
        <w:ind w:firstLine="420"/>
        <w:jc w:val="center"/>
        <w:spacing w:line="360" w:lineRule="auto"/>
        <w:widowControl/>
        <w:rPr>
          <w:rStyle w:val="846"/>
          <w:rFonts w:ascii="sans-serif" w:hAnsi="sans-serif" w:eastAsia="sans-serif" w:cs="sans-serif"/>
          <w:b w:val="0"/>
          <w:color w:val="000000"/>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color w:val="000000"/>
          <w:highlight w:val="none"/>
        </w:rPr>
        <w:br w:type="page" w:clear="all"/>
      </w:r>
      <w:r>
        <w:rPr>
          <w:rStyle w:val="846"/>
          <w:rFonts w:hint="eastAsia" w:ascii="宋体" w:hAnsi="宋体" w:cs="宋体"/>
          <w:color w:val="000000"/>
          <w:sz w:val="43"/>
          <w:szCs w:val="43"/>
          <w:highlight w:val="none"/>
        </w:rPr>
        <w:t xml:space="preserve">第三章 评审方法及评分标准</w:t>
      </w:r>
      <w:r>
        <w:rPr>
          <w:rStyle w:val="846"/>
          <w:rFonts w:ascii="sans-serif" w:hAnsi="sans-serif" w:eastAsia="sans-serif" w:cs="sans-serif"/>
          <w:b w:val="0"/>
          <w:color w:val="000000"/>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29"/>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3、针对小微型企业的评审加分：</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根据财政部、工业和信息化部制定了《政府采购促进中小企业发展管理办法》：</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响应单位认定本企业为小型或微型企业，则需提供当地县级以上（含县级）中小企业主管部门的认定证明；否则需根据“工信部联企业〔2011〕300号”通知中的《中小企业划型标准规定》填报“中小企业声明函”。未在响应文件中出具《中小企业声明函》的，不得享受相关中小企业扶持政策。如为联合体的，联合体各方均为小型、微型企业的，联合体视同为小型、微型企业，否则不享受促进中小微企业发展的相关政府采购政策。</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中小企业声明函”或提供的认定证明中所确定的企业性质，如响应单位所有产品属于小型企业或微型企业的，且提供自有服务以及小型、微型企业制造的货物的，对小型、微型企业制造的货物部分的报价给予20%的扣除；扣除后的价格为评审价格参与价格评审。小型、微型企业提供中型企业制造的货物的，视同为中型企业；提供大型企业制造的货物的，视同为大型企业，不进行评审价格调整，可不提供中小企业声明函。</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①填报“中小企业声明函”需严格按“工信部联企业〔2011〕300号通知中的《中小企业划型标准规定》进行。</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②响应单位对提供的制造商的认定证明负有核实义务及责任。若响应单位提供的“中小企业声明函”或认定证明（包括制造商）为虚假声明则视同提供虚假材料，响应单位将按“政府采购法”相关规定处理并报请政府监管部门给予行政处罚。</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4、残疾人福利性单位的价格分评审：</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对于残疾人福利性单位产品或服务的价格给予20%的扣除，用扣除后的价格参与评审。残疾人福利性单位属于小型、微型企业的，不重复享受政策。</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5、监狱企业的价格分评审：</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监狱企业在响应文件中提供由省级以上监狱管理局、戒毒管理局（含新疆生产建设兵团）出具的属于监狱企业的证明文件。未按采购文件的规定在响应文件中提供中监狱企业证明文件的，不享受支持监狱企业发展的相关政府采购政策。</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对于监狱企业产品或服务的价格给予20%的扣除，用扣除后的价格参与评审。监狱企业属于小型、微型企业的，不重复享受政策。</w:t>
      </w:r>
      <w:r>
        <w:rPr>
          <w:rFonts w:hint="eastAsia" w:ascii="宋体" w:hAnsi="宋体" w:cs="宋体"/>
          <w:color w:val="000000"/>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000000"/>
          <w:sz w:val="21"/>
          <w:szCs w:val="21"/>
          <w:highlight w:val="none"/>
        </w:rPr>
        <w:t xml:space="preserve">6、</w:t>
      </w:r>
      <w:r>
        <w:rPr>
          <w:rStyle w:val="846"/>
          <w:rFonts w:hint="eastAsia" w:ascii="宋体" w:hAnsi="宋体" w:eastAsia="宋体" w:cs="宋体"/>
          <w:b w:val="0"/>
          <w:bCs w:val="0"/>
          <w:i w:val="0"/>
          <w:iCs w:val="0"/>
          <w:caps w:val="0"/>
          <w:color w:val="000000"/>
          <w:spacing w:val="0"/>
          <w:sz w:val="21"/>
          <w:szCs w:val="21"/>
          <w:highlight w:val="none"/>
          <w:shd w:val="clear" w:color="auto" w:fill="ffffff"/>
        </w:rPr>
        <w:t xml:space="preserve">本国产品标准</w:t>
      </w:r>
      <w:r>
        <w:rPr>
          <w:rFonts w:hint="eastAsia" w:ascii="宋体" w:hAnsi="宋体" w:eastAsia="宋体" w:cs="宋体"/>
          <w:b w:val="0"/>
          <w:bCs w:val="0"/>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本国产品应当符合以下条件：</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（一）在中国境内生产</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1.为确保产品在运输或者储存期间保持某种状态而进行的操作；</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2.为产品运输或者销售进行的包装或者展示；</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3.在产品或者其包装上粘贴或者印刷品牌、标志、标识以及其他用于区别的标记；</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4.简单的上漆、磨光和分装；</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5.其他不属于属性改变的情形。</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（二）在中国境内生产的组件成本占比达到规定比例</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产品在中国境内生产的组件成本占比应当达到规定比例，计算公式为：</w:t>
      </w:r>
      <w:r>
        <w:rPr>
          <w:rFonts w:hint="eastAsia" w:ascii="宋体" w:hAnsi="宋体" w:eastAsia="宋体" w:cs="宋体"/>
          <w:i w:val="0"/>
          <w:iCs w:val="0"/>
          <w:caps w:val="0"/>
          <w:color w:val="000000"/>
          <w:spacing w:val="0"/>
          <w:sz w:val="21"/>
          <w:szCs w:val="21"/>
          <w:highlight w:val="none"/>
        </w:rPr>
      </w:r>
      <w:r/>
    </w:p>
    <w:p>
      <w:pPr>
        <w:pStyle w:val="844"/>
        <w:ind w:left="0" w:right="0" w:firstLine="42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fldChar w:fldCharType="begin"/>
      </w:r>
      <w:r>
        <w:rPr>
          <w:rFonts w:hint="eastAsia" w:ascii="宋体" w:hAnsi="宋体" w:eastAsia="宋体" w:cs="宋体"/>
          <w:i w:val="0"/>
          <w:iCs w:val="0"/>
          <w:caps w:val="0"/>
          <w:color w:val="000000"/>
          <w:spacing w:val="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000000"/>
          <w:spacing w:val="0"/>
          <w:sz w:val="21"/>
          <w:szCs w:val="21"/>
          <w:highlight w:val="none"/>
          <w:shd w:val="clear" w:color="auto" w:fill="ffffff"/>
        </w:rPr>
        <w:fldChar w:fldCharType="separate"/>
      </w:r>
      <w:r>
        <w:rPr>
          <w:rFonts w:hint="eastAsia" w:ascii="宋体" w:hAnsi="宋体" w:eastAsia="宋体" w:cs="宋体"/>
          <w:i w:val="0"/>
          <w:iCs w:val="0"/>
          <w:caps w:val="0"/>
          <w:color w:val="000000"/>
          <w:spacing w:val="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9" o:title=""/>
              </v:shape>
            </w:pict>
          </mc:Fallback>
        </mc:AlternateContent>
      </w:r>
      <w:r>
        <w:rPr>
          <w:rFonts w:hint="eastAsia" w:ascii="宋体" w:hAnsi="宋体" w:eastAsia="宋体" w:cs="宋体"/>
          <w:i w:val="0"/>
          <w:iCs w:val="0"/>
          <w:caps w:val="0"/>
          <w:color w:val="000000"/>
          <w:spacing w:val="0"/>
          <w:sz w:val="21"/>
          <w:szCs w:val="21"/>
          <w:highlight w:val="none"/>
          <w:shd w:val="clear" w:color="auto" w:fill="ffffff"/>
        </w:rPr>
        <w:fldChar w:fldCharType="end"/>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（三）特定产品的关键组件、关键工序符合相关要求</w:t>
      </w:r>
      <w:r>
        <w:rPr>
          <w:rFonts w:hint="eastAsia" w:ascii="宋体" w:hAnsi="宋体" w:eastAsia="宋体" w:cs="宋体"/>
          <w:i w:val="0"/>
          <w:iCs w:val="0"/>
          <w:caps w:val="0"/>
          <w:color w:val="000000"/>
          <w:spacing w:val="0"/>
          <w:sz w:val="21"/>
          <w:szCs w:val="21"/>
          <w:highlight w:val="none"/>
        </w:rPr>
      </w:r>
      <w:r/>
    </w:p>
    <w:p>
      <w:pPr>
        <w:pStyle w:val="84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i w:val="0"/>
          <w:iCs w:val="0"/>
          <w:caps w:val="0"/>
          <w:color w:val="000000"/>
          <w:spacing w:val="0"/>
          <w:sz w:val="21"/>
          <w:szCs w:val="21"/>
          <w:highlight w:val="none"/>
        </w:rPr>
      </w:r>
      <w:r/>
    </w:p>
    <w:p>
      <w:pPr>
        <w:pStyle w:val="829"/>
        <w:ind w:firstLine="420"/>
        <w:spacing w:line="400" w:lineRule="exact"/>
        <w:widowControl/>
        <w:tabs>
          <w:tab w:val="left" w:pos="2870" w:leader="none"/>
        </w:tabs>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对本国产品的支持政策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lang w:val="en-US" w:eastAsia="zh-CN"/>
        </w:rPr>
        <w:t xml:space="preserve">本项目不涉及本国产品）</w:t>
      </w:r>
      <w:r>
        <w:rPr>
          <w:rFonts w:ascii="宋体" w:hAnsi="宋体" w:eastAsia="宋体" w:cs="宋体"/>
          <w:color w:val="000000"/>
          <w:sz w:val="21"/>
          <w:szCs w:val="21"/>
          <w:highlight w:val="none"/>
          <w:lang w:val="en-US" w:eastAsia="zh-CN"/>
        </w:rPr>
      </w:r>
      <w:r/>
    </w:p>
    <w:p>
      <w:pPr>
        <w:pStyle w:val="829"/>
        <w:ind w:firstLine="420"/>
        <w:spacing w:line="400" w:lineRule="exact"/>
        <w:widowControl/>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 w:val="21"/>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节能产品和环境标志产品（注：本项目为服务类采购项目，不涉及节能产品、环境标志产品。）</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、信用记录</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829"/>
        <w:ind w:firstLine="420"/>
        <w:spacing w:line="400" w:lineRule="exact"/>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829"/>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1、项目理解认识（8分）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对项目背景、工作意义、吴中区体检工作方案、吴中区城市整体概况等方面的认识，理认识清晰充分，理解准确全面的得8分；内容基本理解，认识较充分，能满足项目需要的得5分；内容理解认识一般的得2分，未提供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2、体检师队伍组建（4 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体检师队伍人数不少于20人，人员结构合理、分工明确，能充分匹配体检工作需求的得 4 分；体检师队伍人数不少于10-20人，人员分工较清晰，能基本支撑日常体检工作的得 2 分；体检师队伍人数少于10人，人员结构不合理，难以满足工作需求的得 1 分；未提供队伍组建方案不得分。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3、每月体检主题、范围选取（8分）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每月体检主题明确有特色、体检范围有代表性，符合吴中区实际，对体检工作有很好的指导意义的得8分；每月体检主题和范围选取较合理，对总报告编制有一定的意义的得5分；每月体检主题普通，范围基本合理，对总报告编制有基本的意义的得2分；未提供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4、报告编制质量（12 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报告内容全面、数据详实、分析深入、结论明确，能有效支撑城市建设管理决策的得12 分；基本完成报告编制任务，数据及分析基本满足要求，结论具有一定参考价值的得8 分；报告内容存在明显缺陷，参考价值有限的得4分；未提供报告不得分。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5、问题识别与问题清单（8分）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问题识别准确、全面、符合实际，问题台账规范完整的得8分；问题识别基本符合实际，问题台账基本完整的得6分；仅完成部分问题汇总，台账不完整的得2分；未提供相关内容不得分。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6、整改建议及建议项目库（8分）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对问题分析深入透彻，能结合吴中区实际提出科学合理、具有强可行性和建设性的项目生成及整改建议清单的得8分；问题分析较深入，提出的建议清单基本可行、具有一定建设性的得6分；问题分析流于表面，建议清单缺乏针对性和可行性的得2分；未提供相关内容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7、项目进度安排与保障措施（</w:t>
      </w:r>
      <w:r>
        <w:rPr>
          <w:rFonts w:hint="eastAsia" w:hAnsi="宋体" w:cs="宋体"/>
          <w:color w:val="000000"/>
          <w:sz w:val="21"/>
          <w:szCs w:val="21"/>
          <w:highlight w:val="none"/>
          <w:lang w:val="en-US" w:eastAsia="zh-CN"/>
        </w:rPr>
        <w:t xml:space="preserve">6</w:t>
      </w:r>
      <w:r>
        <w:rPr>
          <w:rFonts w:hint="eastAsia" w:hAnsi="宋体" w:cs="宋体"/>
          <w:color w:val="000000"/>
          <w:sz w:val="21"/>
          <w:szCs w:val="21"/>
          <w:highlight w:val="none"/>
        </w:rPr>
        <w:t xml:space="preserve">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规划编制工作的时间安排合理、保障措施完善，保障措施科学、可行的得</w:t>
      </w:r>
      <w:r>
        <w:rPr>
          <w:rFonts w:hint="eastAsia" w:hAnsi="宋体" w:cs="宋体"/>
          <w:color w:val="000000"/>
          <w:sz w:val="21"/>
          <w:szCs w:val="21"/>
          <w:highlight w:val="none"/>
          <w:lang w:val="en-US" w:eastAsia="zh-CN"/>
        </w:rPr>
        <w:t xml:space="preserve">6</w:t>
      </w:r>
      <w:r>
        <w:rPr>
          <w:rFonts w:hint="eastAsia" w:hAnsi="宋体" w:cs="宋体"/>
          <w:color w:val="000000"/>
          <w:sz w:val="21"/>
          <w:szCs w:val="21"/>
          <w:highlight w:val="none"/>
        </w:rPr>
        <w:t xml:space="preserve">分；规划编制工作的时间安排基本合理、保障措施基本完善，保障措施基本科学、可行的得</w:t>
      </w:r>
      <w:r>
        <w:rPr>
          <w:rFonts w:hint="eastAsia" w:hAnsi="宋体" w:cs="宋体"/>
          <w:color w:val="000000"/>
          <w:sz w:val="21"/>
          <w:szCs w:val="21"/>
          <w:highlight w:val="none"/>
          <w:lang w:val="en-US" w:eastAsia="zh-CN"/>
        </w:rPr>
        <w:t xml:space="preserve">4</w:t>
      </w:r>
      <w:r>
        <w:rPr>
          <w:rFonts w:hint="eastAsia" w:hAnsi="宋体" w:cs="宋体"/>
          <w:color w:val="000000"/>
          <w:sz w:val="21"/>
          <w:szCs w:val="21"/>
          <w:highlight w:val="none"/>
        </w:rPr>
        <w:t xml:space="preserve">分；规划编制工作的时间安排不太合理、保障措施不太完善，保障措施不太科学、可行的得</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分；未提供不得分。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8、后续服务的安排及保证措施（4分）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后续服务内容清晰，人员充足，保证措施完善的得4分；后续服务内容基本清晰，人员基本充足，保证措施基本完善的得2分；后续服务内容不清晰，人员不足，保证措施不完善的得1分；未提供不得分。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9、项目负责人（8分）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（1）项目负责人具有注册城市（乡）规划师证书的得1分；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（2）项目负责人具有规划专业正高级职称的得1分，具有高级职称证书的得0.5分，最高得1分。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 注：响应文件中须提供人员证书及供应商为其缴纳近一个月的社保缴费证明。材料不提供或提供不全或无法认定的，对应评分项不得分。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3）自2022年1月1日至今以来（以获奖证书落款时间为准），项目负责人作为项目负责人或主要成员承担过的项目，获得过由政府部门颁发的国土空间规划奖项，省级及以上每个得2分；市级得1分，本项最高得6分。本项限评三项，同一项目只记最高奖项得分，响应文件中提供获奖证书扫描件，否则不得分；主要成员指证书排名前三位。</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10、项目组其他成员（不包括项目负责人）（7分）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（1）项目组成员（项目负责人除外）具有建筑、测绘、交通、规划、土地专业高级及以上职称的，每个得1分，中级每个得0.5分，最高得5分。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（2）以上专业人员同时具有注册城市（乡）规划师证书的，每个得1分，最高得2分。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注：同一专业证书只计取一次分。响应文件中须提供人员证书及供应商为其缴纳近一个月的社保缴费证明。材料不提供或提供不全或无法认定的，对应评分项不得分。专业以毕业证书或职称证书为准。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11、响应单位2022年1月1日以来（以合同签订日期为准）承担过类似业绩的，每提供一个得2分，最高1</w:t>
      </w:r>
      <w:r>
        <w:rPr>
          <w:rFonts w:hint="eastAsia" w:hAnsi="宋体" w:cs="宋体"/>
          <w:color w:val="000000"/>
          <w:sz w:val="21"/>
          <w:szCs w:val="21"/>
          <w:highlight w:val="none"/>
          <w:lang w:val="en-US" w:eastAsia="zh-CN"/>
        </w:rPr>
        <w:t xml:space="preserve">0</w:t>
      </w:r>
      <w:r>
        <w:rPr>
          <w:rFonts w:hint="eastAsia" w:hAnsi="宋体" w:cs="宋体"/>
          <w:color w:val="000000"/>
          <w:sz w:val="21"/>
          <w:szCs w:val="21"/>
          <w:highlight w:val="none"/>
        </w:rPr>
        <w:t xml:space="preserve">分。提供合同扫描件，否则不得分。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12、响应单位2022年1月1日以来（以获奖证书落款时间为准）承担过的类似业绩，获得过政府部门颁发的奖项，每提供一个得2分，最高4分。提供获奖证书复印件，否则不得分。</w:t>
      </w:r>
      <w:r>
        <w:rPr>
          <w:rFonts w:hint="eastAsia" w:hAnsi="宋体" w:cs="宋体"/>
          <w:color w:val="000000"/>
          <w:sz w:val="21"/>
          <w:szCs w:val="21"/>
          <w:highlight w:val="none"/>
        </w:rPr>
      </w:r>
      <w:r/>
    </w:p>
    <w:p>
      <w:pPr>
        <w:pStyle w:val="850"/>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13、响应单位具有有效期内的质量管理体系认证证书、环境管理体系认证证书、职业健康安全管理体系认证证书的，有一项得1分，最高得3分。提供相关证书复印件及证书在全国认证认可信息公共服务平台上查询到的清晰页面截图，否则不得分。</w:t>
      </w:r>
      <w:r>
        <w:rPr>
          <w:rFonts w:hint="eastAsia" w:hAnsi="宋体" w:cs="宋体"/>
          <w:color w:val="000000"/>
          <w:sz w:val="21"/>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829"/>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2、针对评分标准中评分的每一条，响应单位均应提供相关资料并作出相应说明供评委评判，不提供相关资料的视为不具备该项得分的条件。</w:t>
      </w:r>
      <w:r>
        <w:rPr>
          <w:rFonts w:hint="eastAsia" w:ascii="宋体" w:hAnsi="宋体" w:cs="宋体"/>
          <w:color w:val="000000"/>
          <w:szCs w:val="21"/>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br w:type="page" w:clear="all"/>
      </w:r>
      <w:r>
        <w:rPr>
          <w:color w:val="000000"/>
          <w:highlight w:val="none"/>
        </w:rPr>
      </w:r>
      <w:r/>
    </w:p>
    <w:p>
      <w:pPr>
        <w:pStyle w:val="844"/>
        <w:jc w:val="center"/>
        <w:spacing w:before="75" w:beforeAutospacing="0" w:after="75" w:afterAutospacing="0"/>
        <w:widowControl/>
        <w:rPr>
          <w:rStyle w:val="846"/>
          <w:rFonts w:ascii="宋体" w:hAnsi="宋体" w:cs="宋体"/>
          <w:color w:val="000000"/>
          <w:sz w:val="43"/>
          <w:szCs w:val="43"/>
          <w:highlight w:val="none"/>
        </w:rPr>
      </w:pPr>
      <w:r>
        <w:rPr>
          <w:rStyle w:val="846"/>
          <w:rFonts w:hint="eastAsia" w:ascii="宋体" w:hAnsi="宋体" w:cs="宋体"/>
          <w:color w:val="000000"/>
          <w:sz w:val="43"/>
          <w:szCs w:val="43"/>
          <w:highlight w:val="none"/>
        </w:rPr>
        <w:t xml:space="preserve">第四章  合同主要条款及格式</w:t>
      </w:r>
      <w:r>
        <w:rPr>
          <w:rStyle w:val="846"/>
          <w:rFonts w:ascii="宋体" w:hAnsi="宋体" w:cs="宋体"/>
          <w:color w:val="000000"/>
          <w:sz w:val="43"/>
          <w:szCs w:val="43"/>
          <w:highlight w:val="none"/>
        </w:rPr>
      </w:r>
      <w:r/>
    </w:p>
    <w:p>
      <w:pPr>
        <w:pStyle w:val="829"/>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2、合同履行期限：两年，</w:t>
      </w:r>
      <w:r>
        <w:rPr>
          <w:rFonts w:hint="eastAsia" w:ascii="宋体" w:hAnsi="宋体" w:cs="宋体"/>
          <w:color w:val="000000"/>
          <w:szCs w:val="21"/>
          <w:highlight w:val="none"/>
          <w:u w:val="single"/>
        </w:rPr>
        <w:t xml:space="preserve">20   年   月  日</w:t>
      </w:r>
      <w:r>
        <w:rPr>
          <w:rFonts w:hint="eastAsia" w:ascii="宋体" w:hAnsi="宋体" w:cs="宋体"/>
          <w:color w:val="000000"/>
          <w:szCs w:val="21"/>
          <w:highlight w:val="none"/>
        </w:rPr>
        <w:t xml:space="preserve">至</w:t>
      </w:r>
      <w:r>
        <w:rPr>
          <w:rFonts w:hint="eastAsia" w:ascii="宋体" w:hAnsi="宋体" w:cs="宋体"/>
          <w:color w:val="000000"/>
          <w:szCs w:val="21"/>
          <w:highlight w:val="none"/>
          <w:u w:val="single"/>
        </w:rPr>
        <w:t xml:space="preserve">20   年   月  日</w:t>
      </w:r>
      <w:r>
        <w:rPr>
          <w:rFonts w:hint="eastAsia" w:ascii="宋体" w:hAnsi="宋体" w:cs="宋体"/>
          <w:color w:val="000000"/>
          <w:szCs w:val="21"/>
          <w:highlight w:val="none"/>
        </w:rPr>
        <w:t xml:space="preserve">止。</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详见磋商采购文件。</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1、合同价格按此次成交价执行，合同金额：</w:t>
      </w:r>
      <w:r>
        <w:rPr>
          <w:rFonts w:hint="eastAsia" w:ascii="宋体" w:hAnsi="宋体" w:cs="宋体"/>
          <w:b/>
          <w:bCs/>
          <w:color w:val="000000"/>
          <w:szCs w:val="21"/>
          <w:highlight w:val="none"/>
          <w:u w:val="single"/>
        </w:rPr>
        <w:t xml:space="preserve">人民币大写   元</w:t>
      </w:r>
      <w:r>
        <w:rPr>
          <w:rFonts w:hint="eastAsia" w:ascii="宋体" w:hAnsi="宋体" w:cs="宋体"/>
          <w:color w:val="000000"/>
          <w:szCs w:val="21"/>
          <w:highlight w:val="none"/>
        </w:rPr>
        <w:t xml:space="preserve">。合同金额包括项目成果的服务费、人工费及提供服务所需的技术咨询费、现场踏勘差旅费、资料费、管理费、保险、利润、税金、采购代理服务费、政策性文件规定及本项目包含的所有风险、责任等各项应有费用。 服务期限内合同价款不因市场因素或政策调整而变动。</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采购合同签订，乙方提交初步成果后，甲方支付合同金额的</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0%；乙方按期提交最终成果，经甲方验收合格后，甲方支付合同金额的</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0%。甲方每期付款前，乙方需先行出具增值税发票。</w:t>
      </w:r>
      <w:r>
        <w:rPr>
          <w:rFonts w:hint="eastAsia" w:ascii="宋体" w:hAnsi="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鉴于甲方使用的是财政资金，若甲方在本合同约定的付款时间内办理财政支付手续的，视为甲方已按约支付。若由于财政部门的审核或拨付额度导致付款迟延或不到位的，甲方不承担迟延付款的责任，乙方仍需按合同履行相应的义务。</w:t>
      </w:r>
      <w:r>
        <w:rPr>
          <w:rFonts w:hint="eastAsia" w:ascii="宋体" w:hAnsi="宋体" w:eastAsia="宋体" w:cs="宋体"/>
          <w:color w:val="000000"/>
          <w:szCs w:val="21"/>
          <w:highlight w:val="none"/>
          <w:lang w:val="en-US" w:eastAsia="zh-CN"/>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乙方要求付款应提供以下资料：</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（2）其他（如有）。</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4、支付方式：银行转账。</w:t>
      </w:r>
      <w:r>
        <w:rPr>
          <w:rFonts w:hint="eastAsia" w:ascii="宋体" w:hAnsi="宋体" w:cs="宋体"/>
          <w:color w:val="000000"/>
          <w:szCs w:val="21"/>
          <w:highlight w:val="none"/>
        </w:rPr>
      </w:r>
      <w:r/>
    </w:p>
    <w:p>
      <w:pPr>
        <w:pStyle w:val="829"/>
        <w:ind w:firstLine="422"/>
        <w:spacing w:line="400" w:lineRule="atLeast"/>
        <w:rPr>
          <w:rFonts w:ascii="宋体" w:hAnsi="宋体"/>
          <w:b/>
          <w:bCs/>
          <w:color w:val="000000"/>
          <w:szCs w:val="21"/>
          <w:highlight w:val="none"/>
        </w:rPr>
      </w:pPr>
      <w:r>
        <w:rPr>
          <w:rFonts w:hint="eastAsia" w:ascii="宋体" w:hAnsi="宋体" w:cs="宋体"/>
          <w:b/>
          <w:color w:val="000000"/>
          <w:szCs w:val="21"/>
          <w:highlight w:val="none"/>
        </w:rPr>
        <w:t xml:space="preserve">四</w:t>
      </w:r>
      <w:r>
        <w:rPr>
          <w:rFonts w:hint="eastAsia" w:ascii="宋体" w:hAnsi="宋体"/>
          <w:b/>
          <w:bCs/>
          <w:color w:val="000000"/>
          <w:szCs w:val="21"/>
          <w:highlight w:val="none"/>
        </w:rPr>
        <w:t xml:space="preserve">、质量保证</w:t>
      </w:r>
      <w:r>
        <w:rPr>
          <w:rFonts w:ascii="宋体" w:hAnsi="宋体"/>
          <w:b/>
          <w:bCs/>
          <w:color w:val="000000"/>
          <w:szCs w:val="21"/>
          <w:highlight w:val="none"/>
        </w:rPr>
      </w:r>
      <w:r/>
    </w:p>
    <w:p>
      <w:pPr>
        <w:pStyle w:val="829"/>
        <w:ind w:firstLine="424"/>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乙方承诺按照招标文件中提出的要求提供服务，必须严格按照国家相关规定和投标文件中的有关内容（包括承诺）执行，符合国家及地区行业标准。</w:t>
      </w:r>
      <w:r>
        <w:rPr>
          <w:rFonts w:hint="eastAsia" w:ascii="宋体" w:hAnsi="宋体" w:cs="宋体"/>
          <w:color w:val="000000"/>
          <w:szCs w:val="21"/>
          <w:highlight w:val="none"/>
        </w:rPr>
      </w:r>
      <w:r/>
    </w:p>
    <w:p>
      <w:pPr>
        <w:pStyle w:val="829"/>
        <w:spacing w:line="400" w:lineRule="atLeast"/>
        <w:rPr>
          <w:rFonts w:ascii="宋体" w:hAnsi="宋体"/>
          <w:b/>
          <w:bCs/>
          <w:color w:val="000000"/>
          <w:szCs w:val="21"/>
          <w:highlight w:val="none"/>
        </w:rPr>
      </w:pPr>
      <w:r>
        <w:rPr>
          <w:rFonts w:hint="eastAsia" w:ascii="宋体" w:hAnsi="宋体" w:cs="宋体"/>
          <w:color w:val="000000"/>
          <w:szCs w:val="21"/>
          <w:highlight w:val="none"/>
        </w:rPr>
        <w:t xml:space="preserve">  </w:t>
      </w:r>
      <w:r>
        <w:rPr>
          <w:rFonts w:hint="eastAsia" w:ascii="宋体" w:hAnsi="宋体"/>
          <w:b/>
          <w:bCs/>
          <w:color w:val="000000"/>
          <w:szCs w:val="21"/>
          <w:highlight w:val="none"/>
        </w:rPr>
        <w:t xml:space="preserve">  五、双方的义务</w:t>
      </w:r>
      <w:r>
        <w:rPr>
          <w:rFonts w:ascii="宋体" w:hAnsi="宋体"/>
          <w:b/>
          <w:bCs/>
          <w:color w:val="000000"/>
          <w:szCs w:val="21"/>
          <w:highlight w:val="none"/>
        </w:rPr>
      </w:r>
      <w:r/>
    </w:p>
    <w:p>
      <w:pPr>
        <w:pStyle w:val="829"/>
        <w:ind w:left="422"/>
        <w:spacing w:line="400" w:lineRule="atLeast"/>
        <w:rPr>
          <w:rFonts w:ascii="宋体" w:hAnsi="宋体" w:cs="宋体"/>
          <w:color w:val="000000"/>
          <w:szCs w:val="21"/>
          <w:highlight w:val="none"/>
        </w:rPr>
      </w:pPr>
      <w:r>
        <w:rPr>
          <w:rFonts w:hint="eastAsia" w:ascii="宋体" w:hAnsi="宋体" w:cs="宋体"/>
          <w:color w:val="000000"/>
          <w:szCs w:val="21"/>
          <w:highlight w:val="none"/>
        </w:rPr>
        <w:t xml:space="preserve">（一）甲方的义务</w:t>
      </w:r>
      <w:r>
        <w:rPr>
          <w:rFonts w:ascii="宋体" w:hAnsi="宋体" w:cs="宋体"/>
          <w:color w:val="000000"/>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1、合同签订后，甲方应及时提供项目所需的相关资料。</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2、审定乙方履行合同情况。</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3、协助乙方为完成本项目而进行的外部协调配合及资料收集工作。</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4、甲方可指派代表作为项目负责人，与乙方进行及时的联络并监督、协调服务的执行情况。</w:t>
      </w:r>
      <w:r>
        <w:rPr>
          <w:rFonts w:ascii="宋体" w:hAnsi="宋体" w:cs="宋体"/>
          <w:color w:val="000000"/>
          <w:spacing w:val="-4"/>
          <w:szCs w:val="21"/>
          <w:highlight w:val="none"/>
        </w:rPr>
      </w:r>
      <w:r/>
    </w:p>
    <w:p>
      <w:pPr>
        <w:pStyle w:val="829"/>
        <w:ind w:firstLine="482"/>
        <w:spacing w:line="400" w:lineRule="atLeast"/>
        <w:rPr>
          <w:rFonts w:ascii="宋体" w:hAnsi="宋体" w:cs="宋体"/>
          <w:color w:val="000000"/>
          <w:szCs w:val="21"/>
          <w:highlight w:val="none"/>
        </w:rPr>
      </w:pPr>
      <w:r>
        <w:rPr>
          <w:rFonts w:hint="eastAsia" w:ascii="宋体" w:hAnsi="宋体" w:cs="宋体"/>
          <w:color w:val="000000"/>
          <w:szCs w:val="21"/>
          <w:highlight w:val="none"/>
        </w:rPr>
        <w:t xml:space="preserve">（二）乙方的义务</w:t>
      </w:r>
      <w:r>
        <w:rPr>
          <w:rFonts w:ascii="宋体" w:hAnsi="宋体" w:cs="宋体"/>
          <w:color w:val="000000"/>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1、乙方对甲方提出的合理</w:t>
      </w:r>
      <w:r>
        <w:rPr>
          <w:rFonts w:ascii="宋体" w:hAnsi="宋体" w:cs="宋体"/>
          <w:color w:val="000000"/>
          <w:spacing w:val="-4"/>
          <w:szCs w:val="21"/>
          <w:highlight w:val="none"/>
        </w:rPr>
        <w:t xml:space="preserve">的</w:t>
      </w:r>
      <w:r>
        <w:rPr>
          <w:rFonts w:hint="eastAsia" w:ascii="宋体" w:hAnsi="宋体" w:cs="宋体"/>
          <w:color w:val="000000"/>
          <w:spacing w:val="-4"/>
          <w:szCs w:val="21"/>
          <w:highlight w:val="none"/>
        </w:rPr>
        <w:t xml:space="preserve">必要调整和完善意见应积极响应。</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2、乙方应当根据要求以及承诺确保项目保质保量如期完成。</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3、乙方应自己负责实施合同期间其工作人员的食宿、通讯、差旅、交通、水电、资料收集等一切费用。</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4、乙方负责对其工作人员、设备安全承担保障责任，对乙方措施不当造成损害承担全部责任。随时向甲方报告工作进展情况，发现问题应及时采取措施，保证工作顺利开展。</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5、乙方须维护甲方的基础资料及规划成果，不得转让给第三方重复使用。</w:t>
      </w:r>
      <w:r>
        <w:rPr>
          <w:rFonts w:ascii="宋体" w:hAnsi="宋体" w:cs="宋体"/>
          <w:color w:val="000000"/>
          <w:spacing w:val="-4"/>
          <w:szCs w:val="21"/>
          <w:highlight w:val="none"/>
        </w:rPr>
      </w:r>
      <w:r/>
    </w:p>
    <w:p>
      <w:pPr>
        <w:pStyle w:val="829"/>
        <w:ind w:firstLine="404"/>
        <w:spacing w:line="400" w:lineRule="atLeas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6、乙方在被授予合同后不得转包，如发现分包或转包，按乙方违约处理。</w:t>
      </w:r>
      <w:r>
        <w:rPr>
          <w:rFonts w:ascii="宋体" w:hAnsi="宋体" w:cs="宋体"/>
          <w:color w:val="000000"/>
          <w:spacing w:val="-4"/>
          <w:szCs w:val="21"/>
          <w:highlight w:val="none"/>
        </w:rPr>
      </w:r>
      <w:r/>
    </w:p>
    <w:p>
      <w:pPr>
        <w:pStyle w:val="829"/>
        <w:ind w:firstLine="404"/>
        <w:spacing w:line="400" w:lineRule="atLeast"/>
        <w:rPr>
          <w:rFonts w:ascii="宋体" w:hAnsi="宋体" w:cs="宋体"/>
          <w:bCs/>
          <w:color w:val="000000"/>
          <w:spacing w:val="-4"/>
          <w:szCs w:val="21"/>
          <w:highlight w:val="none"/>
        </w:rPr>
      </w:pPr>
      <w:r>
        <w:rPr>
          <w:rFonts w:hint="eastAsia" w:ascii="宋体" w:hAnsi="宋体" w:cs="宋体"/>
          <w:color w:val="000000"/>
          <w:spacing w:val="-4"/>
          <w:szCs w:val="21"/>
          <w:highlight w:val="none"/>
        </w:rPr>
        <w:t xml:space="preserve">7、未经甲方同意不得随意更换项目组人员，如发现未经甲方许可随意更换主要技术人员，</w:t>
      </w:r>
      <w:r>
        <w:rPr>
          <w:rFonts w:hint="eastAsia" w:ascii="宋体" w:hAnsi="宋体" w:cs="宋体"/>
          <w:bCs/>
          <w:color w:val="000000"/>
          <w:spacing w:val="-4"/>
          <w:szCs w:val="21"/>
          <w:highlight w:val="none"/>
        </w:rPr>
        <w:t xml:space="preserve">按乙方违约处理。</w:t>
      </w:r>
      <w:r>
        <w:rPr>
          <w:rFonts w:ascii="宋体" w:hAnsi="宋体" w:cs="宋体"/>
          <w:bCs/>
          <w:color w:val="000000"/>
          <w:spacing w:val="-4"/>
          <w:szCs w:val="21"/>
          <w:highlight w:val="none"/>
        </w:rPr>
      </w:r>
      <w:r/>
    </w:p>
    <w:p>
      <w:pPr>
        <w:pStyle w:val="829"/>
        <w:ind w:firstLine="404"/>
        <w:spacing w:line="400" w:lineRule="atLeast"/>
        <w:rPr>
          <w:rFonts w:hint="eastAsia"/>
          <w:color w:val="000000"/>
          <w:szCs w:val="21"/>
          <w:highlight w:val="none"/>
        </w:rPr>
      </w:pPr>
      <w:r>
        <w:rPr>
          <w:rFonts w:hint="eastAsia" w:ascii="宋体" w:hAnsi="宋体" w:cs="宋体"/>
          <w:color w:val="000000"/>
          <w:spacing w:val="-4"/>
          <w:szCs w:val="21"/>
          <w:highlight w:val="none"/>
        </w:rPr>
        <w:t xml:space="preserve">8、对于提供的服务，乙方应当拥有完整物权，并且乙方负有保证第三人不得向甲方主张任何权利（包括知识产权）的义务。</w:t>
      </w:r>
      <w:r>
        <w:rPr>
          <w:rFonts w:hint="eastAsia"/>
          <w:color w:val="000000"/>
          <w:szCs w:val="21"/>
          <w:highlight w:val="none"/>
        </w:rPr>
      </w:r>
      <w:r/>
    </w:p>
    <w:p>
      <w:pPr>
        <w:pStyle w:val="829"/>
        <w:ind w:firstLine="422"/>
        <w:jc w:val="left"/>
        <w:spacing w:line="40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六、违约责任：</w:t>
      </w:r>
      <w:r>
        <w:rPr>
          <w:rFonts w:hint="eastAsia" w:ascii="宋体" w:hAnsi="宋体" w:cs="宋体"/>
          <w:b/>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1、甲方违约责任：</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在合同履行期间，甲方要求终止或解除合同（仅指非乙方原因造成），应及时书面通知乙方。甲方应按乙方完成的实际工作量支付费用；</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由于甲方原因致使乙方未能按期完成工程的，则周期顺延且乙方</w:t>
      </w:r>
      <w:r>
        <w:rPr>
          <w:rFonts w:ascii="宋体" w:hAnsi="宋体" w:cs="宋体"/>
          <w:color w:val="000000"/>
          <w:szCs w:val="21"/>
          <w:highlight w:val="none"/>
        </w:rPr>
        <w:t xml:space="preserve">不承担</w:t>
      </w:r>
      <w:r>
        <w:rPr>
          <w:rFonts w:hint="eastAsia" w:ascii="宋体" w:hAnsi="宋体" w:cs="宋体"/>
          <w:color w:val="000000"/>
          <w:szCs w:val="21"/>
          <w:highlight w:val="none"/>
        </w:rPr>
        <w:t xml:space="preserve">相关</w:t>
      </w:r>
      <w:r>
        <w:rPr>
          <w:rFonts w:ascii="宋体" w:hAnsi="宋体" w:cs="宋体"/>
          <w:color w:val="000000"/>
          <w:szCs w:val="21"/>
          <w:highlight w:val="none"/>
        </w:rPr>
        <w:t xml:space="preserve">违约责任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color w:val="000000"/>
          <w:szCs w:val="21"/>
          <w:highlight w:val="none"/>
        </w:rPr>
        <w:t xml:space="preserve">鉴于甲方向政府财政部门申请资金等因素，具体付款进度视财政拨付情况而定。若因此甲方未能遵照上述支付步骤和比例付款，不视为甲方逾期支付。</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2、乙方违约责任：</w:t>
      </w:r>
      <w:r>
        <w:rPr>
          <w:rFonts w:hint="eastAsia" w:ascii="宋体" w:hAnsi="宋体" w:cs="宋体"/>
          <w:color w:val="000000"/>
          <w:szCs w:val="21"/>
          <w:highlight w:val="none"/>
        </w:rPr>
      </w:r>
      <w:r/>
    </w:p>
    <w:p>
      <w:pPr>
        <w:pStyle w:val="829"/>
        <w:ind w:firstLine="420"/>
        <w:jc w:val="left"/>
        <w:spacing w:line="400" w:lineRule="atLeast"/>
        <w:rPr>
          <w:rFonts w:ascii="宋体" w:hAnsi="宋体"/>
          <w:color w:val="000000"/>
          <w:szCs w:val="21"/>
          <w:highlight w:val="none"/>
        </w:rPr>
      </w:pPr>
      <w:r>
        <w:rPr>
          <w:rFonts w:hint="eastAsia" w:ascii="宋体" w:hAnsi="宋体" w:cs="宋体"/>
          <w:color w:val="000000"/>
          <w:szCs w:val="21"/>
          <w:highlight w:val="none"/>
        </w:rPr>
        <w:t xml:space="preserve">（1）合同签订后，如乙方擅自中途停止或解除合同，向甲方偿付合同总价款的10%</w:t>
      </w:r>
      <w:r>
        <w:rPr>
          <w:rFonts w:hint="eastAsia" w:ascii="宋体" w:hAnsi="宋体"/>
          <w:color w:val="000000"/>
          <w:szCs w:val="21"/>
          <w:highlight w:val="none"/>
        </w:rPr>
        <w:t xml:space="preserve">；</w:t>
      </w:r>
      <w:r>
        <w:rPr>
          <w:rFonts w:ascii="宋体" w:hAnsi="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2）乙方应对自己承担的服务质量和进度负责，如因乙方自身原因超过合同规定的工期或提交的成果经检查验收后发现其质量不符合规定的技术要求，甲方有权解除合同，并拒绝支付相应的价款，由此产生的损失由乙方负责；</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（3）对于甲方提供的图纸资料、技术资料以及属于甲方其他测绘成果，乙方有保密义务，不得向第三方以任何方式泄漏，否则，乙方承担法律责任；</w:t>
      </w:r>
      <w:r>
        <w:rPr>
          <w:rFonts w:hint="eastAsia" w:ascii="宋体" w:hAnsi="宋体" w:cs="宋体"/>
          <w:color w:val="000000"/>
          <w:szCs w:val="21"/>
          <w:highlight w:val="none"/>
        </w:rPr>
      </w:r>
      <w:r/>
    </w:p>
    <w:p>
      <w:pPr>
        <w:pStyle w:val="829"/>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（4）乙方擅自转包、分包本合同标的，甲方有权解除合同，并要求乙方返还已经收到的服务费用，乙方赔偿服务费5%的违约金；</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（5）乙方未经甲方同意擅自变项目组负责人、主要工程师等人员，视为违约，承担相应的违约责任；如由此导致乙方提交成果不符合规定的技术要求的，甲方有权解除合同。</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(6) 乙方在本合同项下承担的违约金和赔偿金总额以已收到的报酬为限。如因客观原因取消本合同的，甲方应按乙方已完成工作阶段或工作量支付费用。</w:t>
      </w:r>
      <w:r>
        <w:rPr>
          <w:rFonts w:hint="eastAsia" w:ascii="宋体" w:hAnsi="宋体" w:cs="宋体"/>
          <w:color w:val="000000"/>
          <w:szCs w:val="21"/>
          <w:highlight w:val="none"/>
        </w:rPr>
      </w:r>
      <w:r/>
    </w:p>
    <w:p>
      <w:pPr>
        <w:pStyle w:val="829"/>
        <w:ind w:firstLine="422"/>
        <w:jc w:val="left"/>
        <w:spacing w:line="400" w:lineRule="atLeast"/>
        <w:rPr>
          <w:rFonts w:hint="eastAsia" w:ascii="宋体" w:hAnsi="宋体" w:cs="宋体"/>
          <w:b/>
          <w:color w:val="000000"/>
          <w:szCs w:val="21"/>
          <w:highlight w:val="none"/>
        </w:rPr>
      </w:pPr>
      <w:r/>
      <w:bookmarkStart w:id="24" w:name="_Toc13543221"/>
      <w:r>
        <w:rPr>
          <w:rFonts w:hint="eastAsia" w:ascii="宋体" w:hAnsi="宋体"/>
          <w:b/>
          <w:color w:val="000000"/>
          <w:szCs w:val="21"/>
          <w:highlight w:val="none"/>
        </w:rPr>
        <w:t xml:space="preserve">七、</w:t>
      </w:r>
      <w:r>
        <w:rPr>
          <w:rFonts w:hint="eastAsia" w:ascii="宋体" w:hAnsi="宋体" w:cs="宋体"/>
          <w:b/>
          <w:color w:val="000000"/>
          <w:szCs w:val="21"/>
          <w:highlight w:val="none"/>
        </w:rPr>
        <w:t xml:space="preserve">不可抗力</w:t>
      </w:r>
      <w:r>
        <w:rPr>
          <w:rFonts w:hint="eastAsia" w:ascii="宋体" w:hAnsi="宋体" w:cs="宋体"/>
          <w:b/>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cs="宋体"/>
          <w:color w:val="000000"/>
          <w:szCs w:val="21"/>
          <w:highlight w:val="none"/>
        </w:rPr>
      </w:r>
      <w:r/>
    </w:p>
    <w:p>
      <w:pPr>
        <w:pStyle w:val="829"/>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szCs w:val="21"/>
          <w:highlight w:val="none"/>
        </w:rPr>
      </w:r>
      <w:r/>
    </w:p>
    <w:p>
      <w:pPr>
        <w:pStyle w:val="829"/>
        <w:ind w:firstLine="422"/>
        <w:spacing w:line="400" w:lineRule="atLeast"/>
        <w:rPr>
          <w:rFonts w:ascii="宋体" w:hAnsi="宋体"/>
          <w:b/>
          <w:bCs/>
          <w:color w:val="000000"/>
          <w:szCs w:val="21"/>
          <w:highlight w:val="none"/>
        </w:rPr>
      </w:pPr>
      <w:r>
        <w:rPr>
          <w:rFonts w:hint="eastAsia" w:ascii="宋体" w:hAnsi="宋体" w:cs="宋体"/>
          <w:b/>
          <w:bCs/>
          <w:color w:val="000000"/>
          <w:szCs w:val="21"/>
          <w:highlight w:val="none"/>
        </w:rPr>
        <w:t xml:space="preserve">八、</w:t>
      </w:r>
      <w:r>
        <w:rPr>
          <w:rFonts w:hint="eastAsia" w:ascii="宋体" w:hAnsi="宋体"/>
          <w:b/>
          <w:bCs/>
          <w:color w:val="000000"/>
          <w:szCs w:val="21"/>
          <w:highlight w:val="none"/>
        </w:rPr>
        <w:t xml:space="preserve">保密</w:t>
      </w:r>
      <w:r>
        <w:rPr>
          <w:rFonts w:ascii="宋体" w:hAnsi="宋体"/>
          <w:b/>
          <w:bCs/>
          <w:color w:val="000000"/>
          <w:szCs w:val="21"/>
          <w:highlight w:val="none"/>
        </w:rPr>
      </w:r>
      <w:r/>
    </w:p>
    <w:p>
      <w:pPr>
        <w:pStyle w:val="829"/>
        <w:ind w:firstLine="420"/>
        <w:spacing w:line="400" w:lineRule="atLeast"/>
        <w:rPr>
          <w:rFonts w:ascii="宋体" w:hAnsi="宋体"/>
          <w:color w:val="000000"/>
          <w:szCs w:val="21"/>
          <w:highlight w:val="none"/>
        </w:rPr>
      </w:pPr>
      <w:r>
        <w:rPr>
          <w:rFonts w:hint="eastAsia" w:ascii="宋体" w:hAnsi="宋体"/>
          <w:color w:val="000000"/>
          <w:szCs w:val="21"/>
          <w:highlight w:val="none"/>
        </w:rPr>
        <w:t xml:space="preserve">本合同及合同涉及的其他资料、信息属保密性质，未经双方同意，任何一方不得向第三方泄露。</w:t>
      </w:r>
      <w:r>
        <w:rPr>
          <w:rFonts w:ascii="宋体" w:hAnsi="宋体"/>
          <w:color w:val="000000"/>
          <w:szCs w:val="21"/>
          <w:highlight w:val="none"/>
        </w:rPr>
      </w:r>
      <w:r/>
    </w:p>
    <w:p>
      <w:pPr>
        <w:pStyle w:val="829"/>
        <w:spacing w:line="400" w:lineRule="atLeast"/>
        <w:rPr>
          <w:rFonts w:ascii="宋体" w:hAnsi="宋体"/>
          <w:b/>
          <w:color w:val="000000"/>
          <w:szCs w:val="21"/>
          <w:highlight w:val="none"/>
        </w:rPr>
      </w:pPr>
      <w:r>
        <w:rPr>
          <w:rFonts w:hint="eastAsia" w:ascii="宋体" w:hAnsi="宋体"/>
          <w:b/>
          <w:color w:val="000000"/>
          <w:szCs w:val="21"/>
          <w:highlight w:val="none"/>
        </w:rPr>
        <w:t xml:space="preserve">    九、版权及知识产权</w:t>
      </w:r>
      <w:r>
        <w:rPr>
          <w:rFonts w:ascii="宋体" w:hAnsi="宋体"/>
          <w:b/>
          <w:color w:val="000000"/>
          <w:szCs w:val="21"/>
          <w:highlight w:val="none"/>
        </w:rPr>
      </w:r>
      <w:r/>
    </w:p>
    <w:p>
      <w:pPr>
        <w:pStyle w:val="829"/>
        <w:ind w:firstLine="480"/>
        <w:spacing w:line="400" w:lineRule="atLeast"/>
        <w:rPr>
          <w:rFonts w:ascii="宋体" w:hAnsi="宋体" w:cs="宋体"/>
          <w:color w:val="000000"/>
          <w:szCs w:val="21"/>
          <w:highlight w:val="none"/>
        </w:rPr>
      </w:pPr>
      <w:r>
        <w:rPr>
          <w:rFonts w:hint="eastAsia" w:ascii="宋体" w:hAnsi="宋体" w:cs="宋体"/>
          <w:color w:val="000000"/>
          <w:szCs w:val="21"/>
          <w:highlight w:val="none"/>
        </w:rPr>
        <w:t xml:space="preserve">规划署名权归乙方所有，版权归甲方所有，甲方有权在规划审定后公开展示规划成果，并通过传播、媒介、专业杂志、书刊及其他形式介绍、展示、评价规划方案。规划方案批准实施前，任何单位和个人未经同意都无权以任何形式向社会公开展示规划成果。</w:t>
      </w:r>
      <w:r>
        <w:rPr>
          <w:rFonts w:ascii="宋体" w:hAnsi="宋体" w:cs="宋体"/>
          <w:color w:val="000000"/>
          <w:szCs w:val="21"/>
          <w:highlight w:val="none"/>
        </w:rPr>
      </w:r>
      <w:r/>
    </w:p>
    <w:p>
      <w:pPr>
        <w:pStyle w:val="829"/>
        <w:ind w:firstLine="48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乙方应保证在本项目使用的任何产品（包括部分使用）时，不会产生因第三方提出侵犯其专利权、商标权或其它知识产权而引起的法律和经济纠纷，如因专利权、商标权或其它知识产权而引起法律和经济纠纷，由乙方承担所有相关责任。</w:t>
      </w:r>
      <w:bookmarkEnd w:id="24"/>
      <w:r>
        <w:rPr>
          <w:rFonts w:hint="eastAsia" w:ascii="宋体" w:hAnsi="宋体" w:cs="宋体"/>
          <w:color w:val="000000"/>
          <w:szCs w:val="21"/>
          <w:highlight w:val="none"/>
        </w:rPr>
      </w:r>
      <w:r/>
    </w:p>
    <w:p>
      <w:pPr>
        <w:pStyle w:val="829"/>
        <w:ind w:firstLine="422"/>
        <w:jc w:val="left"/>
        <w:spacing w:line="40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十、合同的解除和转让</w:t>
      </w:r>
      <w:r>
        <w:rPr>
          <w:rFonts w:hint="eastAsia" w:ascii="宋体" w:hAnsi="宋体" w:cs="宋体"/>
          <w:b/>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1、合同的解除</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1.1有下列情形之一，合同一方可以解除合同：</w:t>
      </w:r>
      <w:r>
        <w:rPr>
          <w:rFonts w:hint="eastAsia" w:ascii="宋体" w:hAnsi="宋体" w:cs="宋体"/>
          <w:color w:val="000000"/>
          <w:szCs w:val="21"/>
          <w:highlight w:val="none"/>
          <w:lang w:eastAsia="en-US"/>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1.1.1 因不可抗力致使不能实现合同目的，未受不可抗力影响的一方有权解除合同；</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1.1.2 因合同一方违约导致合同不能履行，另一方有权解除合同。</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1.1.3有权解除合同的一方，应当在违约事实或不可抗力发生之后三十天内书面通知对方以主张解除合同，合同在书面通知到达对方时解除。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2、合同的转让</w:t>
      </w:r>
      <w:r>
        <w:rPr>
          <w:rFonts w:hint="eastAsia" w:ascii="宋体" w:hAnsi="宋体" w:cs="宋体"/>
          <w:color w:val="000000"/>
          <w:szCs w:val="21"/>
          <w:highlight w:val="none"/>
        </w:rPr>
      </w:r>
      <w:r/>
    </w:p>
    <w:p>
      <w:pPr>
        <w:pStyle w:val="829"/>
        <w:ind w:firstLine="420"/>
        <w:jc w:val="left"/>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合同的部分和全部都不得转让。</w:t>
      </w:r>
      <w:r>
        <w:rPr>
          <w:rFonts w:hint="eastAsia" w:ascii="宋体" w:hAnsi="宋体" w:cs="宋体"/>
          <w:color w:val="000000"/>
          <w:szCs w:val="21"/>
          <w:highlight w:val="none"/>
        </w:rPr>
      </w:r>
      <w:r/>
    </w:p>
    <w:p>
      <w:pPr>
        <w:pStyle w:val="829"/>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十一</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2、生效的合同需进行合同网上公示。</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3、本合同的成立、有效性、解释、履行及由此产生的争议的解决，均应适用中华人民共和国法律。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5、诉讼期间，除争议内容以外，双方均应继续履行合同约定的其他内容。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834"/>
        <w:rPr>
          <w:color w:val="000000"/>
          <w:highlight w:val="none"/>
        </w:rPr>
      </w:pPr>
      <w:r>
        <w:rPr>
          <w:color w:val="000000"/>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rPr>
      </w:r>
      <w:r/>
    </w:p>
    <w:p>
      <w:pPr>
        <w:pStyle w:val="829"/>
        <w:ind w:firstLine="380"/>
        <w:spacing w:line="360" w:lineRule="auto"/>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829"/>
        <w:ind w:firstLine="420"/>
        <w:spacing w:line="360" w:lineRule="auto"/>
        <w:tabs>
          <w:tab w:val="left" w:pos="540" w:leader="none"/>
        </w:tabs>
        <w:rPr>
          <w:color w:val="000000"/>
          <w:highlight w:val="none"/>
        </w:rPr>
      </w:pPr>
      <w:r>
        <w:rPr>
          <w:color w:val="000000"/>
          <w:highlight w:val="none"/>
        </w:rPr>
      </w:r>
      <w:r/>
    </w:p>
    <w:p>
      <w:pPr>
        <w:pStyle w:val="829"/>
        <w:rPr>
          <w:color w:val="000000"/>
          <w:highlight w:val="none"/>
        </w:rPr>
      </w:pPr>
      <w:r>
        <w:rPr>
          <w:color w:val="000000"/>
          <w:highlight w:val="none"/>
        </w:rPr>
      </w:r>
      <w:r/>
    </w:p>
    <w:p>
      <w:pPr>
        <w:pStyle w:val="844"/>
        <w:jc w:val="center"/>
        <w:spacing w:before="75" w:beforeAutospacing="0" w:after="75" w:afterAutospacing="0"/>
        <w:widowControl/>
        <w:rPr>
          <w:rStyle w:val="846"/>
          <w:rFonts w:ascii="宋体" w:hAnsi="宋体" w:cs="宋体"/>
          <w:color w:val="000000"/>
          <w:sz w:val="43"/>
          <w:szCs w:val="43"/>
          <w:highlight w:val="none"/>
        </w:rPr>
      </w:pPr>
      <w:r>
        <w:rPr>
          <w:rStyle w:val="846"/>
          <w:rFonts w:hint="eastAsia" w:ascii="宋体" w:hAnsi="宋体" w:cs="宋体"/>
          <w:color w:val="000000"/>
          <w:sz w:val="43"/>
          <w:szCs w:val="43"/>
          <w:highlight w:val="none"/>
        </w:rPr>
        <w:br w:type="page" w:clear="all"/>
      </w:r>
      <w:r>
        <w:rPr>
          <w:rStyle w:val="846"/>
          <w:rFonts w:hint="eastAsia" w:ascii="宋体" w:hAnsi="宋体" w:cs="宋体"/>
          <w:color w:val="000000"/>
          <w:sz w:val="43"/>
          <w:szCs w:val="43"/>
          <w:highlight w:val="none"/>
        </w:rPr>
        <w:t xml:space="preserve">第五章  磋商响应文件格式</w:t>
      </w:r>
      <w:r>
        <w:rPr>
          <w:rStyle w:val="846"/>
          <w:rFonts w:ascii="宋体" w:hAnsi="宋体" w:cs="宋体"/>
          <w:color w:val="000000"/>
          <w:sz w:val="43"/>
          <w:szCs w:val="43"/>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829"/>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，包括澄清、修改、补充或更正文件（如有的话）和有关附件，我方完全熟悉和理解其中的要求、条款和条件，且无任何异议。我方承诺将按竞争性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的各项规定履行合同责任和义务。竞争性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及其附件资料如果有涉及应当保密的内容，我方将严格遵守规定，不将应当保密的内容泄密给第三方或另作它用，如有违反，</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可依法追究我方的法律责任。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的要求，并在规定的期限内与</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签订合同。</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829"/>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29"/>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829"/>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829"/>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              （项目名称和采购编号）的响应,并做出如下承诺：</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2.成交后不依法与采购单位签订合同；</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3.成交后不按本采购文件规定向采购单位提交履约保证金；</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二、我单位知晓上述行为的法律后果，承认本承诺书作为贵方（或采购单位）要求我单位履行违约赔偿义务的依据作用。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829"/>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32"/>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嘉德信工程管理(苏州)有限公司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832"/>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829"/>
        <w:rPr>
          <w:color w:val="000000"/>
          <w:highlight w:val="none"/>
        </w:rPr>
      </w:pPr>
      <w:r>
        <w:rPr>
          <w:color w:val="000000"/>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color w:val="000000"/>
          <w:highlight w:val="none"/>
        </w:rPr>
      </w:pPr>
      <w:r>
        <w:rPr>
          <w:rFonts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JSZC-320506-SJDX-C2026-0001</w:t>
      </w:r>
      <w:r>
        <w:rPr>
          <w:rFonts w:hint="eastAsia" w:ascii="宋体" w:hAnsi="宋体"/>
          <w:color w:val="000000"/>
          <w:szCs w:val="21"/>
          <w:highlight w:val="none"/>
        </w:rPr>
        <w:t xml:space="preserve">号</w:t>
      </w:r>
      <w:r>
        <w:rPr>
          <w:rFonts w:ascii="宋体" w:hAnsi="宋体"/>
          <w:color w:val="000000"/>
          <w:highlight w:val="none"/>
        </w:rPr>
      </w:r>
      <w:r/>
    </w:p>
    <w:p>
      <w:pPr>
        <w:pStyle w:val="829"/>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ascii="宋体" w:hAnsi="宋体"/>
          <w:color w:val="000000"/>
          <w:szCs w:val="21"/>
          <w:highlight w:val="none"/>
          <w:u w:val="single"/>
        </w:rPr>
        <w:t xml:space="preserve">             </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响应单价（元）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5" w:name="XMMC"/>
            <w:r/>
            <w:bookmarkEnd w:id="25"/>
            <w:r>
              <w:rPr>
                <w:rFonts w:hint="eastAsia" w:ascii="宋体" w:hAnsi="宋体" w:cs="宋体"/>
                <w:color w:val="000000"/>
                <w:highlight w:val="none"/>
              </w:rPr>
            </w:r>
            <w:r/>
          </w:p>
        </w:tc>
        <w:tc>
          <w:tcPr>
            <w:tcW w:w="5484" w:type="dxa"/>
            <w:vAlign w:val="center"/>
            <w:textDirection w:val="lrTb"/>
            <w:noWrap w:val="false"/>
          </w:tcPr>
          <w:p>
            <w:pPr>
              <w:pStyle w:val="829"/>
              <w:contextualSpacing/>
              <w:ind w:firstLine="2730"/>
              <w:jc w:val="left"/>
              <w:spacing w:line="600" w:lineRule="exact"/>
              <w:rPr>
                <w:rFonts w:hint="eastAsia" w:ascii="宋体" w:hAnsi="宋体" w:cs="宋体"/>
                <w:color w:val="000000"/>
                <w:highlight w:val="none"/>
              </w:rPr>
            </w:pP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6" w:name="JEDX"/>
            <w:r/>
            <w:bookmarkEnd w:id="26"/>
            <w:r>
              <w:rPr>
                <w:rFonts w:hint="eastAsia" w:ascii="宋体" w:hAnsi="宋体" w:cs="宋体"/>
                <w:color w:val="000000"/>
                <w:highlight w:val="none"/>
              </w:rPr>
            </w:r>
            <w:r/>
          </w:p>
        </w:tc>
      </w:tr>
    </w:tbl>
    <w:p>
      <w:pPr>
        <w:pStyle w:val="829"/>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829"/>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829"/>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829"/>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3、单价须以人民币元表示，并精确到小数点后2位，四舍五入。</w:t>
      </w:r>
      <w:r>
        <w:rPr>
          <w:rFonts w:ascii="宋体" w:hAnsi="宋体"/>
          <w:color w:val="000000"/>
          <w:spacing w:val="20"/>
          <w:szCs w:val="21"/>
          <w:highlight w:val="none"/>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29"/>
        <w:jc w:val="center"/>
        <w:rPr>
          <w:b/>
          <w:color w:val="000000"/>
          <w:sz w:val="28"/>
          <w:szCs w:val="28"/>
          <w:highlight w:val="none"/>
        </w:rPr>
      </w:pPr>
      <w:r>
        <w:rPr>
          <w:rFonts w:hint="eastAsia" w:ascii="宋体" w:hAnsi="宋体" w:cs="宋体"/>
          <w:b/>
          <w:color w:val="000000"/>
          <w:sz w:val="32"/>
          <w:szCs w:val="32"/>
          <w:highlight w:val="none"/>
          <w:lang w:val="zh-CN"/>
        </w:rPr>
        <w:br w:type="page" w:clear="all"/>
      </w:r>
      <w:r>
        <w:rPr>
          <w:b/>
          <w:color w:val="000000"/>
          <w:sz w:val="28"/>
          <w:szCs w:val="28"/>
          <w:highlight w:val="none"/>
        </w:rPr>
        <w:t xml:space="preserve">报价分</w:t>
      </w:r>
      <w:r>
        <w:rPr>
          <w:rFonts w:hint="eastAsia"/>
          <w:b/>
          <w:color w:val="000000"/>
          <w:sz w:val="28"/>
          <w:szCs w:val="28"/>
          <w:highlight w:val="none"/>
        </w:rPr>
        <w:t xml:space="preserve">项</w:t>
      </w:r>
      <w:r>
        <w:rPr>
          <w:b/>
          <w:color w:val="000000"/>
          <w:sz w:val="28"/>
          <w:szCs w:val="28"/>
          <w:highlight w:val="none"/>
        </w:rPr>
        <w:t xml:space="preserve">表</w:t>
      </w:r>
      <w:r>
        <w:rPr>
          <w:b/>
          <w:color w:val="000000"/>
          <w:sz w:val="28"/>
          <w:szCs w:val="28"/>
          <w:highlight w:val="none"/>
        </w:rPr>
      </w:r>
      <w:r/>
    </w:p>
    <w:p>
      <w:pPr>
        <w:pStyle w:val="82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p>
      <w:pPr>
        <w:pStyle w:val="850"/>
        <w:ind w:firstLine="0"/>
        <w:rPr>
          <w:rFonts w:hint="eastAsia"/>
          <w:color w:val="000000"/>
          <w:highlight w:val="none"/>
        </w:rPr>
      </w:pPr>
      <w:r>
        <w:rPr>
          <w:rFonts w:hAnsi="宋体"/>
          <w:color w:val="000000"/>
          <w:sz w:val="21"/>
          <w:szCs w:val="21"/>
          <w:highlight w:val="none"/>
        </w:rPr>
        <w:t xml:space="preserve">项目名称：</w:t>
      </w: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549"/>
        <w:gridCol w:w="1636"/>
        <w:gridCol w:w="1377"/>
        <w:gridCol w:w="1377"/>
        <w:gridCol w:w="1178"/>
      </w:tblGrid>
      <w:tr>
        <w:trPr>
          <w:trHeight w:val="454"/>
        </w:trPr>
        <w:tc>
          <w:tcPr>
            <w:tcW w:w="1008"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549" w:type="dxa"/>
            <w:vAlign w:val="center"/>
            <w:textDirection w:val="lrTb"/>
            <w:noWrap w:val="false"/>
          </w:tcPr>
          <w:p>
            <w:pPr>
              <w:pStyle w:val="829"/>
              <w:jc w:val="center"/>
              <w:spacing w:before="156" w:after="156" w:line="360" w:lineRule="auto"/>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1636"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单价（元/次）</w:t>
            </w:r>
            <w:r>
              <w:rPr>
                <w:rFonts w:ascii="宋体" w:hAnsi="宋体" w:cs="宋体"/>
                <w:color w:val="000000"/>
                <w:szCs w:val="21"/>
                <w:highlight w:val="none"/>
              </w:rPr>
            </w:r>
            <w:r/>
          </w:p>
        </w:tc>
        <w:tc>
          <w:tcPr>
            <w:tcW w:w="1377" w:type="dxa"/>
            <w:vAlign w:val="center"/>
            <w:textDirection w:val="lrTb"/>
            <w:noWrap w:val="false"/>
          </w:tcPr>
          <w:p>
            <w:pPr>
              <w:pStyle w:val="829"/>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377"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合计（元）</w:t>
            </w:r>
            <w:r>
              <w:rPr>
                <w:rFonts w:ascii="宋体" w:hAnsi="宋体" w:cs="宋体"/>
                <w:color w:val="000000"/>
                <w:szCs w:val="21"/>
                <w:highlight w:val="none"/>
              </w:rPr>
            </w:r>
            <w:r/>
          </w:p>
        </w:tc>
        <w:tc>
          <w:tcPr>
            <w:tcW w:w="1178"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rHeight w:val="454"/>
        </w:trPr>
        <w:tc>
          <w:tcPr>
            <w:tcW w:w="1008" w:type="dxa"/>
            <w:vAlign w:val="center"/>
            <w:textDirection w:val="lrTb"/>
            <w:noWrap w:val="false"/>
          </w:tcPr>
          <w:p>
            <w:pPr>
              <w:pStyle w:val="829"/>
              <w:ind w:firstLine="174"/>
              <w:jc w:val="center"/>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549"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636"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377"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377"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178"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r>
      <w:tr>
        <w:trPr>
          <w:trHeight w:val="70"/>
        </w:trPr>
        <w:tc>
          <w:tcPr>
            <w:tcW w:w="1008" w:type="dxa"/>
            <w:vAlign w:val="center"/>
            <w:textDirection w:val="lrTb"/>
            <w:noWrap w:val="false"/>
          </w:tcPr>
          <w:p>
            <w:pPr>
              <w:pStyle w:val="829"/>
              <w:ind w:firstLine="174"/>
              <w:jc w:val="center"/>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549"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636"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377" w:type="dxa"/>
            <w:vAlign w:val="center"/>
            <w:textDirection w:val="lrTb"/>
            <w:noWrap w:val="false"/>
          </w:tcPr>
          <w:p>
            <w:pPr>
              <w:pStyle w:val="829"/>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377"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178"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r>
      <w:tr>
        <w:trPr>
          <w:trHeight w:val="454"/>
        </w:trPr>
        <w:tc>
          <w:tcPr>
            <w:tcW w:w="1008" w:type="dxa"/>
            <w:vAlign w:val="center"/>
            <w:textDirection w:val="lrTb"/>
            <w:noWrap w:val="false"/>
          </w:tcPr>
          <w:p>
            <w:pPr>
              <w:pStyle w:val="829"/>
              <w:ind w:firstLine="174"/>
              <w:jc w:val="center"/>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549"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636"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377"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377"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c>
          <w:tcPr>
            <w:tcW w:w="1178" w:type="dxa"/>
            <w:vAlign w:val="center"/>
            <w:textDirection w:val="lrTb"/>
            <w:noWrap w:val="false"/>
          </w:tcPr>
          <w:p>
            <w:pPr>
              <w:pStyle w:val="829"/>
              <w:ind w:firstLine="480"/>
              <w:jc w:val="center"/>
              <w:spacing w:before="156" w:after="156" w:line="360" w:lineRule="auto"/>
              <w:rPr>
                <w:rFonts w:ascii="宋体" w:hAnsi="宋体" w:cs="宋体"/>
                <w:color w:val="000000"/>
                <w:szCs w:val="21"/>
                <w:highlight w:val="none"/>
              </w:rPr>
              <w:outlineLvl w:val="1"/>
            </w:pPr>
            <w:r>
              <w:rPr>
                <w:rFonts w:ascii="宋体" w:hAnsi="宋体" w:cs="宋体"/>
                <w:color w:val="000000"/>
                <w:szCs w:val="21"/>
                <w:highlight w:val="none"/>
              </w:rPr>
            </w:r>
            <w:r/>
          </w:p>
        </w:tc>
      </w:tr>
      <w:tr>
        <w:trPr>
          <w:trHeight w:val="1196"/>
        </w:trPr>
        <w:tc>
          <w:tcPr>
            <w:gridSpan w:val="2"/>
            <w:tcW w:w="2557" w:type="dxa"/>
            <w:vAlign w:val="center"/>
            <w:textDirection w:val="lrTb"/>
            <w:noWrap w:val="false"/>
          </w:tcPr>
          <w:p>
            <w:pPr>
              <w:pStyle w:val="829"/>
              <w:ind w:firstLine="420"/>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总报价：</w:t>
            </w:r>
            <w:r>
              <w:rPr>
                <w:rFonts w:ascii="宋体" w:hAnsi="宋体" w:cs="宋体"/>
                <w:color w:val="000000"/>
                <w:szCs w:val="21"/>
                <w:highlight w:val="none"/>
              </w:rPr>
            </w:r>
            <w:r/>
          </w:p>
        </w:tc>
        <w:tc>
          <w:tcPr>
            <w:gridSpan w:val="4"/>
            <w:tcW w:w="5568" w:type="dxa"/>
            <w:vAlign w:val="center"/>
            <w:textDirection w:val="lrTb"/>
            <w:noWrap w:val="false"/>
          </w:tcPr>
          <w:p>
            <w:pPr>
              <w:pStyle w:val="829"/>
              <w:ind w:firstLine="480"/>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（小写）：</w:t>
            </w:r>
            <w:r>
              <w:rPr>
                <w:rFonts w:ascii="宋体" w:hAnsi="宋体" w:cs="宋体"/>
                <w:color w:val="000000"/>
                <w:szCs w:val="21"/>
                <w:highlight w:val="none"/>
              </w:rPr>
            </w:r>
            <w:r/>
          </w:p>
          <w:p>
            <w:pPr>
              <w:pStyle w:val="829"/>
              <w:ind w:firstLine="480"/>
              <w:spacing w:before="156" w:after="156"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（大写）：</w:t>
            </w:r>
            <w:r>
              <w:rPr>
                <w:rFonts w:ascii="宋体" w:hAnsi="宋体" w:cs="宋体"/>
                <w:color w:val="000000"/>
                <w:szCs w:val="21"/>
                <w:highlight w:val="none"/>
              </w:rPr>
            </w:r>
            <w:r/>
          </w:p>
        </w:tc>
      </w:tr>
    </w:tbl>
    <w:p>
      <w:pPr>
        <w:pStyle w:val="829"/>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832"/>
        <w:ind w:firstLine="0"/>
        <w:spacing w:line="300" w:lineRule="auto"/>
        <w:rPr>
          <w:rFonts w:hint="eastAsia" w:ascii="宋体" w:hAnsi="宋体"/>
          <w:b/>
          <w:bCs/>
          <w:color w:val="000000"/>
          <w:szCs w:val="21"/>
          <w:highlight w:val="none"/>
        </w:rPr>
      </w:pPr>
      <w:r>
        <w:rPr>
          <w:rFonts w:hint="eastAsia" w:ascii="宋体" w:hAnsi="宋体" w:cs="宋体"/>
          <w:color w:val="000000"/>
          <w:szCs w:val="21"/>
          <w:highlight w:val="none"/>
        </w:rPr>
        <w:t xml:space="preserve">响应单位：（盖公章）</w:t>
      </w:r>
      <w:r>
        <w:rPr>
          <w:rFonts w:hint="eastAsia" w:ascii="宋体" w:hAnsi="宋体"/>
          <w:b/>
          <w:bCs/>
          <w:color w:val="00000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int="eastAsia"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829"/>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832"/>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829"/>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829"/>
        <w:jc w:val="center"/>
        <w:spacing w:line="360" w:lineRule="auto"/>
        <w:rPr>
          <w:rFonts w:hint="eastAsia" w:ascii="宋体" w:hAnsi="宋体" w:cs="宋体"/>
          <w:b/>
          <w:bCs/>
          <w:color w:val="000000"/>
          <w:sz w:val="28"/>
          <w:szCs w:val="28"/>
          <w:highlight w:val="none"/>
        </w:rPr>
      </w:pPr>
      <w:r/>
      <w:bookmarkStart w:id="27"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829"/>
        <w:jc w:val="left"/>
        <w:spacing w:line="360" w:lineRule="auto"/>
        <w:rPr>
          <w:rFonts w:hint="eastAsia" w:ascii="宋体" w:hAnsi="宋体" w:cs="宋体"/>
          <w:color w:val="000000"/>
          <w:szCs w:val="21"/>
          <w:highlight w:val="none"/>
        </w:rPr>
      </w:pPr>
      <w:r/>
      <w:bookmarkEnd w:id="27"/>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单位2024年总营业收入</w:t>
            </w:r>
            <w:r>
              <w:rPr>
                <w:rFonts w:hint="eastAsia" w:ascii="宋体" w:hAnsi="宋体" w:cs="宋体"/>
                <w:color w:val="000000"/>
                <w:szCs w:val="21"/>
                <w:highlight w:val="none"/>
              </w:rPr>
            </w:r>
            <w:r/>
          </w:p>
        </w:tc>
        <w:tc>
          <w:tcPr>
            <w:tcW w:w="1905" w:type="dxa"/>
            <w:vAlign w:val="center"/>
            <w:textDirection w:val="lrTb"/>
            <w:noWrap w:val="false"/>
          </w:tcPr>
          <w:p>
            <w:pPr>
              <w:pStyle w:val="832"/>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52"/>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pacing w:val="20"/>
          <w:sz w:val="21"/>
          <w:szCs w:val="21"/>
          <w:highlight w:val="none"/>
        </w:rPr>
      </w:r>
      <w:r/>
    </w:p>
    <w:p>
      <w:pPr>
        <w:pStyle w:val="829"/>
        <w:jc w:val="center"/>
        <w:spacing w:line="360" w:lineRule="auto"/>
        <w:rPr>
          <w:rFonts w:hint="eastAsia" w:ascii="宋体" w:hAnsi="宋体" w:cs="宋体"/>
          <w:b/>
          <w:color w:val="000000"/>
          <w:sz w:val="30"/>
          <w:szCs w:val="30"/>
          <w:highlight w:val="none"/>
        </w:rPr>
      </w:pPr>
      <w:r/>
      <w:bookmarkStart w:id="28" w:name="_Hlk15905882"/>
      <w:r>
        <w:rPr>
          <w:rFonts w:hint="eastAsia" w:ascii="宋体" w:hAnsi="宋体" w:cs="宋体"/>
          <w:b/>
          <w:color w:val="000000"/>
          <w:sz w:val="30"/>
          <w:szCs w:val="30"/>
          <w:highlight w:val="none"/>
        </w:rPr>
        <w:t xml:space="preserve">针对本项目人员配备表</w:t>
      </w:r>
      <w:bookmarkEnd w:id="28"/>
      <w:r>
        <w:rPr>
          <w:rFonts w:hint="eastAsia" w:ascii="宋体" w:hAnsi="宋体" w:cs="宋体"/>
          <w:b/>
          <w:color w:val="000000"/>
          <w:sz w:val="30"/>
          <w:szCs w:val="30"/>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JSZC-320506-SJDX-C2026-0001</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32"/>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3"/>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53"/>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52"/>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29"/>
        <w:jc w:val="center"/>
        <w:spacing w:line="400" w:lineRule="exact"/>
        <w:rPr>
          <w:rFonts w:hint="eastAsia" w:ascii="宋体" w:hAnsi="宋体"/>
          <w:b/>
          <w:color w:val="000000"/>
          <w:sz w:val="28"/>
          <w:szCs w:val="28"/>
          <w:highlight w:val="none"/>
        </w:rPr>
      </w:pPr>
      <w:r>
        <w:rPr>
          <w:rFonts w:hint="eastAsia" w:hAnsi="宋体" w:cs="宋体"/>
          <w:b/>
          <w:bCs/>
          <w:color w:val="000000"/>
          <w:szCs w:val="21"/>
          <w:highlight w:val="none"/>
          <w:lang w:val="zh-CN"/>
        </w:rPr>
        <w:t xml:space="preserve"> </w:t>
      </w:r>
      <w:r>
        <w:rPr>
          <w:rFonts w:hint="eastAsia" w:ascii="宋体" w:hAnsi="宋体"/>
          <w:b/>
          <w:color w:val="000000"/>
          <w:sz w:val="28"/>
          <w:szCs w:val="28"/>
          <w:highlight w:val="none"/>
        </w:rPr>
        <w:t xml:space="preserve">拟投入本项目设备一览表</w:t>
      </w:r>
      <w:r>
        <w:rPr>
          <w:rFonts w:hint="eastAsia" w:ascii="宋体" w:hAnsi="宋体"/>
          <w:b/>
          <w:color w:val="000000"/>
          <w:sz w:val="28"/>
          <w:szCs w:val="28"/>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 </w:t>
      </w:r>
      <w:r>
        <w:rPr>
          <w:rFonts w:hint="eastAsia" w:ascii="宋体" w:hAnsi="宋体" w:cs="宋体"/>
          <w:color w:val="000000"/>
          <w:szCs w:val="21"/>
          <w:highlight w:val="none"/>
        </w:rPr>
      </w:r>
      <w:r/>
    </w:p>
    <w:p>
      <w:pPr>
        <w:pStyle w:val="852"/>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响应单位（盖章）：</w:t>
      </w:r>
      <w:r>
        <w:rPr>
          <w:rFonts w:hint="eastAsia" w:hAnsi="宋体" w:eastAsia="宋体" w:cs="宋体"/>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1522"/>
      </w:tblGrid>
      <w:tr>
        <w:trPr>
          <w:cantSplit/>
          <w:trHeight w:val="740"/>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自有或租赁计划</w:t>
            </w: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tbRlV"/>
            <w:noWrap w:val="false"/>
          </w:tcPr>
          <w:p>
            <w:pPr>
              <w:pStyle w:val="829"/>
              <w:ind w:left="113" w:right="113"/>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2"/>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829"/>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829"/>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注：1、响应单位应随此表附上相关的业绩证明（如合同扫描件等）。</w:t>
      </w:r>
      <w:r>
        <w:rPr>
          <w:rFonts w:hint="eastAsia" w:ascii="宋体" w:hAnsi="宋体" w:cs="宋体"/>
          <w:color w:val="000000"/>
          <w:szCs w:val="21"/>
          <w:highlight w:val="none"/>
          <w:lang w:val="zh-CN"/>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7"/>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837"/>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格式12</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862"/>
        <w:spacing w:line="360" w:lineRule="auto"/>
        <w:rPr>
          <w:color w:val="000000"/>
          <w:sz w:val="21"/>
          <w:szCs w:val="21"/>
          <w:highlight w:val="none"/>
        </w:rPr>
      </w:pPr>
      <w:r>
        <w:rPr>
          <w:rFonts w:hint="eastAsia" w:ascii="宋体" w:hAnsi="宋体" w:cs="宋体"/>
          <w:color w:val="000000"/>
          <w:sz w:val="21"/>
          <w:szCs w:val="21"/>
          <w:highlight w:val="none"/>
        </w:rPr>
        <w:t xml:space="preserve">12.1</w:t>
      </w:r>
      <w:r>
        <w:rPr>
          <w:color w:val="000000"/>
          <w:sz w:val="21"/>
          <w:szCs w:val="21"/>
          <w:highlight w:val="none"/>
        </w:rPr>
      </w:r>
      <w:r/>
    </w:p>
    <w:p>
      <w:pPr>
        <w:pStyle w:val="829"/>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hint="eastAsia" w:ascii="宋体" w:hAnsi="宋体" w:cs="宋体"/>
                <w:b/>
                <w:color w:val="000000"/>
                <w:szCs w:val="21"/>
                <w:highlight w:val="none"/>
              </w:rPr>
              <w:t xml:space="preserve">采购文件</w:t>
            </w:r>
            <w:r>
              <w:rPr>
                <w:rFonts w:ascii="宋体" w:hAnsi="宋体" w:cs="宋体"/>
                <w:b/>
                <w:color w:val="000000"/>
                <w:szCs w:val="21"/>
                <w:highlight w:val="none"/>
              </w:rPr>
              <w:t xml:space="preserve">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829"/>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和磋商过程中贵方要求提供全部现有资料、数据、文件等予以证实。</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29"/>
        <w:spacing w:line="360" w:lineRule="auto"/>
        <w:rPr>
          <w:color w:val="000000"/>
          <w:szCs w:val="21"/>
          <w:highlight w:val="none"/>
        </w:rPr>
      </w:pPr>
      <w:r>
        <w:rPr>
          <w:color w:val="000000"/>
          <w:szCs w:val="21"/>
          <w:highlight w:val="none"/>
        </w:rPr>
      </w:r>
      <w:r/>
    </w:p>
    <w:p>
      <w:pPr>
        <w:pStyle w:val="862"/>
        <w:spacing w:line="360" w:lineRule="auto"/>
        <w:rPr>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12.2</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12.3</w:t>
      </w:r>
      <w:r>
        <w:rPr>
          <w:rFonts w:hint="eastAsia" w:ascii="宋体" w:hAnsi="宋体" w:cs="宋体"/>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12.4</w:t>
      </w:r>
      <w:r>
        <w:rPr>
          <w:color w:val="000000"/>
          <w:sz w:val="21"/>
          <w:szCs w:val="21"/>
          <w:highlight w:val="none"/>
        </w:rPr>
      </w:r>
      <w:r/>
    </w:p>
    <w:p>
      <w:pPr>
        <w:pStyle w:val="82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12.5</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7"/>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12.6</w:t>
      </w:r>
      <w:r>
        <w:rPr>
          <w:rFonts w:hAnsi="宋体" w:eastAsia="宋体" w:cs="宋体"/>
          <w:b/>
          <w:bCs/>
          <w:color w:val="000000"/>
          <w:sz w:val="21"/>
          <w:szCs w:val="21"/>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4"/>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1.采购文件“供应商的资格”中资格条件如果没有特别规定，则由供应商在响应文件中按上述格式提供其具备履行合同所必需的设备和专业技术能力的声明即可，声明函应加盖供应商签章。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采购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844"/>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4"/>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844"/>
        <w:spacing w:before="75" w:beforeAutospacing="0" w:after="75" w:afterAutospacing="0" w:line="435" w:lineRule="atLeast"/>
        <w:widowControl/>
        <w:rPr>
          <w:rFonts w:ascii="宋体" w:hAnsi="宋体" w:cs="宋体"/>
          <w:color w:val="000000"/>
          <w:highlight w:val="none"/>
        </w:rPr>
      </w:pPr>
      <w:r>
        <w:rPr>
          <w:rFonts w:hint="eastAsia"/>
          <w:color w:val="000000"/>
          <w:sz w:val="21"/>
          <w:szCs w:val="21"/>
          <w:highlight w:val="none"/>
        </w:rPr>
        <w:br w:type="page" w:clear="all"/>
      </w:r>
      <w:r>
        <w:rPr>
          <w:rFonts w:hint="eastAsia"/>
          <w:b/>
          <w:bCs/>
          <w:color w:val="000000"/>
          <w:sz w:val="21"/>
          <w:szCs w:val="21"/>
          <w:highlight w:val="none"/>
        </w:rPr>
        <w:t xml:space="preserve">12.7</w:t>
      </w:r>
      <w:r>
        <w:rPr>
          <w:rFonts w:hint="eastAsia" w:ascii="宋体" w:hAnsi="宋体" w:cs="宋体"/>
          <w:color w:val="000000"/>
          <w:highlight w:val="none"/>
        </w:rPr>
        <w:t xml:space="preserve">    </w:t>
      </w:r>
      <w:r>
        <w:rPr>
          <w:rFonts w:ascii="宋体" w:hAnsi="宋体" w:cs="宋体"/>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844"/>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4"/>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844"/>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3</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83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829"/>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852"/>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852"/>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852"/>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29"/>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52"/>
        <w:jc w:val="center"/>
        <w:spacing w:line="360" w:lineRule="auto"/>
        <w:rPr>
          <w:rFonts w:hint="eastAsia" w:hAnsi="宋体" w:eastAsia="宋体" w:cs="宋体"/>
          <w:b/>
          <w:bCs/>
          <w:color w:val="000000"/>
          <w:sz w:val="24"/>
          <w:szCs w:val="24"/>
          <w:highlight w:val="none"/>
        </w:rPr>
      </w:pPr>
      <w:r/>
      <w:bookmarkStart w:id="29" w:name="_Hlk15905942"/>
      <w:r>
        <w:rPr>
          <w:rFonts w:hint="eastAsia" w:hAnsi="宋体" w:eastAsia="宋体" w:cs="宋体"/>
          <w:b/>
          <w:bCs/>
          <w:color w:val="000000"/>
          <w:sz w:val="24"/>
          <w:szCs w:val="24"/>
          <w:highlight w:val="none"/>
        </w:rPr>
        <w:t xml:space="preserve">残疾人福利性单位声明函</w:t>
      </w:r>
      <w:bookmarkEnd w:id="29"/>
      <w:r>
        <w:rPr>
          <w:rFonts w:hint="eastAsia" w:hAnsi="宋体" w:eastAsia="宋体" w:cs="宋体"/>
          <w:b/>
          <w:bCs/>
          <w:color w:val="000000"/>
          <w:sz w:val="24"/>
          <w:szCs w:val="24"/>
          <w:highlight w:val="none"/>
        </w:rPr>
      </w:r>
      <w:r/>
    </w:p>
    <w:p>
      <w:pPr>
        <w:pStyle w:val="852"/>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44"/>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844"/>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82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2"/>
        <w:spacing w:line="360" w:lineRule="auto"/>
        <w:rPr>
          <w:rFonts w:hint="eastAsia" w:ascii="宋体"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844"/>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846"/>
          <w:rFonts w:hint="eastAsia" w:ascii="宋体" w:hAnsi="宋体" w:eastAsia="宋体" w:cs="宋体"/>
          <w:color w:val="000000"/>
          <w:sz w:val="21"/>
          <w:szCs w:val="21"/>
          <w:highlight w:val="none"/>
          <w:shd w:val="clear" w:color="auto" w:fill="ffffff"/>
        </w:rPr>
        <w:t xml:space="preserve">关于符合本国产品标准的声明函</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Style w:val="848"/>
          <w:rFonts w:hint="eastAsia" w:ascii="宋体" w:hAnsi="宋体" w:eastAsia="宋体" w:cs="宋体"/>
          <w:i w:val="0"/>
          <w:iCs w:val="0"/>
          <w:color w:val="000000"/>
          <w:sz w:val="21"/>
          <w:szCs w:val="21"/>
          <w:highlight w:val="none"/>
          <w:u w:val="single"/>
          <w:shd w:val="clear" w:color="auto" w:fill="ffffff"/>
        </w:rPr>
        <w:t xml:space="preserve">（产品名称1）</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Style w:val="848"/>
          <w:rFonts w:hint="eastAsia" w:ascii="宋体" w:hAnsi="宋体" w:eastAsia="宋体" w:cs="宋体"/>
          <w:i w:val="0"/>
          <w:iCs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848"/>
          <w:rFonts w:hint="eastAsia" w:ascii="宋体" w:hAnsi="宋体" w:eastAsia="宋体" w:cs="宋体"/>
          <w:i w:val="0"/>
          <w:iCs w:val="0"/>
          <w:color w:val="000000"/>
          <w:sz w:val="21"/>
          <w:szCs w:val="21"/>
          <w:highlight w:val="none"/>
          <w:u w:val="single"/>
          <w:shd w:val="clear" w:color="auto" w:fill="ffffff"/>
        </w:rPr>
        <w:t xml:space="preserve">（厂名）</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Style w:val="848"/>
          <w:rFonts w:hint="eastAsia" w:ascii="宋体" w:hAnsi="宋体" w:eastAsia="宋体" w:cs="宋体"/>
          <w:i w:val="0"/>
          <w:iCs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848"/>
          <w:rFonts w:hint="eastAsia" w:ascii="宋体" w:hAnsi="宋体" w:eastAsia="宋体" w:cs="宋体"/>
          <w:i w:val="0"/>
          <w:iCs w:val="0"/>
          <w:color w:val="000000"/>
          <w:sz w:val="21"/>
          <w:szCs w:val="21"/>
          <w:highlight w:val="none"/>
          <w:u w:val="single"/>
          <w:shd w:val="clear" w:color="auto" w:fill="ffffff"/>
        </w:rPr>
        <w:t xml:space="preserve">（生产厂址）</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w:t>
      </w:r>
      <w:r>
        <w:rPr>
          <w:rStyle w:val="848"/>
          <w:rFonts w:hint="eastAsia" w:ascii="宋体" w:hAnsi="宋体" w:eastAsia="宋体" w:cs="宋体"/>
          <w:i w:val="0"/>
          <w:iCs w:val="0"/>
          <w:color w:val="000000"/>
          <w:sz w:val="21"/>
          <w:szCs w:val="21"/>
          <w:highlight w:val="none"/>
          <w:u w:val="single"/>
          <w:shd w:val="clear" w:color="auto" w:fill="ffffff"/>
        </w:rPr>
        <w:t xml:space="preserve">（产品名称1）</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848"/>
          <w:rFonts w:hint="eastAsia" w:ascii="宋体" w:hAnsi="宋体" w:eastAsia="宋体" w:cs="宋体"/>
          <w:i w:val="0"/>
          <w:iCs w:val="0"/>
          <w:color w:val="000000"/>
          <w:sz w:val="21"/>
          <w:szCs w:val="21"/>
          <w:highlight w:val="none"/>
          <w:shd w:val="clear" w:color="auto" w:fill="ffffff"/>
        </w:rPr>
        <w:t xml:space="preserve">（规定比例）</w:t>
      </w:r>
      <w:r>
        <w:rPr>
          <w:rStyle w:val="848"/>
          <w:rFonts w:hint="eastAsia" w:ascii="宋体" w:hAnsi="宋体" w:eastAsia="宋体" w:cs="宋体"/>
          <w:i w:val="0"/>
          <w:iCs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848"/>
          <w:rFonts w:hint="eastAsia" w:ascii="宋体" w:hAnsi="宋体" w:eastAsia="宋体" w:cs="宋体"/>
          <w:i w:val="0"/>
          <w:iCs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848"/>
          <w:rFonts w:hint="eastAsia" w:ascii="宋体" w:hAnsi="宋体" w:eastAsia="宋体" w:cs="宋体"/>
          <w:i w:val="0"/>
          <w:iCs w:val="0"/>
          <w:color w:val="000000"/>
          <w:sz w:val="21"/>
          <w:szCs w:val="21"/>
          <w:highlight w:val="none"/>
          <w:u w:val="single"/>
          <w:shd w:val="clear" w:color="auto" w:fill="ffffff"/>
        </w:rPr>
        <w:t xml:space="preserve">（关键组件）</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Style w:val="848"/>
          <w:rFonts w:hint="eastAsia" w:ascii="宋体" w:hAnsi="宋体" w:eastAsia="宋体" w:cs="宋体"/>
          <w:i w:val="0"/>
          <w:iCs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848"/>
          <w:rFonts w:hint="eastAsia" w:ascii="宋体" w:hAnsi="宋体" w:eastAsia="宋体" w:cs="宋体"/>
          <w:i w:val="0"/>
          <w:iCs w:val="0"/>
          <w:color w:val="000000"/>
          <w:sz w:val="21"/>
          <w:szCs w:val="21"/>
          <w:highlight w:val="none"/>
          <w:u w:val="single"/>
          <w:shd w:val="clear" w:color="auto" w:fill="ffffff"/>
        </w:rPr>
        <w:t xml:space="preserve">（产品名称1）</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的</w:t>
      </w:r>
      <w:r>
        <w:rPr>
          <w:rStyle w:val="848"/>
          <w:rFonts w:hint="eastAsia" w:ascii="宋体" w:hAnsi="宋体" w:eastAsia="宋体" w:cs="宋体"/>
          <w:i w:val="0"/>
          <w:iCs w:val="0"/>
          <w:color w:val="000000"/>
          <w:sz w:val="21"/>
          <w:szCs w:val="21"/>
          <w:highlight w:val="none"/>
          <w:u w:val="single"/>
          <w:shd w:val="clear" w:color="auto" w:fill="ffffff"/>
        </w:rPr>
        <w:t xml:space="preserve">（关键工序）</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Style w:val="848"/>
          <w:rFonts w:hint="eastAsia" w:ascii="宋体" w:hAnsi="宋体" w:eastAsia="宋体" w:cs="宋体"/>
          <w:i w:val="0"/>
          <w:iCs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Style w:val="848"/>
          <w:rFonts w:hint="eastAsia" w:ascii="宋体" w:hAnsi="宋体" w:eastAsia="宋体" w:cs="宋体"/>
          <w:i w:val="0"/>
          <w:iCs w:val="0"/>
          <w:color w:val="000000"/>
          <w:sz w:val="21"/>
          <w:szCs w:val="21"/>
          <w:highlight w:val="none"/>
          <w:u w:val="single"/>
          <w:shd w:val="clear" w:color="auto" w:fill="ffffff"/>
        </w:rPr>
        <w:t xml:space="preserve">（产品名称2）</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，生产厂为</w:t>
      </w:r>
      <w:r>
        <w:rPr>
          <w:rStyle w:val="848"/>
          <w:rFonts w:hint="eastAsia" w:ascii="宋体" w:hAnsi="宋体" w:eastAsia="宋体" w:cs="宋体"/>
          <w:i w:val="0"/>
          <w:iCs w:val="0"/>
          <w:color w:val="000000"/>
          <w:sz w:val="21"/>
          <w:szCs w:val="21"/>
          <w:highlight w:val="none"/>
          <w:u w:val="single"/>
          <w:shd w:val="clear" w:color="auto" w:fill="ffffff"/>
        </w:rPr>
        <w:t xml:space="preserve">（厂名）</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，厂址为</w:t>
      </w:r>
      <w:r>
        <w:rPr>
          <w:rStyle w:val="848"/>
          <w:rFonts w:hint="eastAsia" w:ascii="宋体" w:hAnsi="宋体" w:eastAsia="宋体" w:cs="宋体"/>
          <w:i w:val="0"/>
          <w:iCs w:val="0"/>
          <w:color w:val="000000"/>
          <w:sz w:val="21"/>
          <w:szCs w:val="21"/>
          <w:highlight w:val="none"/>
          <w:u w:val="single"/>
          <w:shd w:val="clear" w:color="auto" w:fill="ffffff"/>
        </w:rPr>
        <w:t xml:space="preserve">（生产厂址）</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w:t>
      </w:r>
      <w:r>
        <w:rPr>
          <w:rStyle w:val="848"/>
          <w:rFonts w:hint="eastAsia" w:ascii="宋体" w:hAnsi="宋体" w:eastAsia="宋体" w:cs="宋体"/>
          <w:i w:val="0"/>
          <w:iCs w:val="0"/>
          <w:color w:val="000000"/>
          <w:sz w:val="21"/>
          <w:szCs w:val="21"/>
          <w:highlight w:val="none"/>
          <w:u w:val="single"/>
          <w:shd w:val="clear" w:color="auto" w:fill="ffffff"/>
        </w:rPr>
        <w:t xml:space="preserve">（产品名称2）</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848"/>
          <w:rFonts w:hint="eastAsia" w:ascii="宋体" w:hAnsi="宋体" w:eastAsia="宋体" w:cs="宋体"/>
          <w:i w:val="0"/>
          <w:iCs w:val="0"/>
          <w:color w:val="000000"/>
          <w:sz w:val="21"/>
          <w:szCs w:val="21"/>
          <w:highlight w:val="non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848"/>
          <w:rFonts w:hint="eastAsia" w:ascii="宋体" w:hAnsi="宋体" w:eastAsia="宋体" w:cs="宋体"/>
          <w:i w:val="0"/>
          <w:iCs w:val="0"/>
          <w:color w:val="000000"/>
          <w:sz w:val="21"/>
          <w:szCs w:val="21"/>
          <w:highlight w:val="none"/>
          <w:u w:val="single"/>
          <w:shd w:val="clear" w:color="auto" w:fill="ffffff"/>
        </w:rPr>
        <w:t xml:space="preserve">（产品名称2）</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的</w:t>
      </w:r>
      <w:r>
        <w:rPr>
          <w:rStyle w:val="848"/>
          <w:rFonts w:hint="eastAsia" w:ascii="宋体" w:hAnsi="宋体" w:eastAsia="宋体" w:cs="宋体"/>
          <w:i w:val="0"/>
          <w:iCs w:val="0"/>
          <w:color w:val="000000"/>
          <w:sz w:val="21"/>
          <w:szCs w:val="21"/>
          <w:highlight w:val="none"/>
          <w:u w:val="single"/>
          <w:shd w:val="clear" w:color="auto" w:fill="ffffff"/>
        </w:rPr>
        <w:t xml:space="preserve">（关键组件）</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在中国境内生产。</w:t>
      </w:r>
      <w:r>
        <w:rPr>
          <w:rStyle w:val="848"/>
          <w:rFonts w:hint="eastAsia" w:ascii="宋体" w:hAnsi="宋体" w:eastAsia="宋体" w:cs="宋体"/>
          <w:i w:val="0"/>
          <w:iCs w:val="0"/>
          <w:color w:val="000000"/>
          <w:sz w:val="21"/>
          <w:szCs w:val="21"/>
          <w:highlight w:val="none"/>
          <w:u w:val="single"/>
          <w:shd w:val="clear" w:color="auto" w:fill="ffffff"/>
        </w:rPr>
        <w:t xml:space="preserve">（产品名称2）</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的</w:t>
      </w:r>
      <w:r>
        <w:rPr>
          <w:rStyle w:val="848"/>
          <w:rFonts w:hint="eastAsia" w:ascii="宋体" w:hAnsi="宋体" w:eastAsia="宋体" w:cs="宋体"/>
          <w:i w:val="0"/>
          <w:iCs w:val="0"/>
          <w:color w:val="000000"/>
          <w:sz w:val="21"/>
          <w:szCs w:val="21"/>
          <w:highlight w:val="none"/>
          <w:u w:val="single"/>
          <w:shd w:val="clear" w:color="auto" w:fill="ffffff"/>
        </w:rPr>
        <w:t xml:space="preserve">（关键工序）</w:t>
      </w:r>
      <w:r>
        <w:rPr>
          <w:rStyle w:val="848"/>
          <w:rFonts w:hint="eastAsia" w:ascii="宋体" w:hAnsi="宋体" w:eastAsia="宋体" w:cs="宋体"/>
          <w:i w:val="0"/>
          <w:iCs w:val="0"/>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844"/>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r>
      <w:r/>
    </w:p>
    <w:p>
      <w:pPr>
        <w:pStyle w:val="844"/>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844"/>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日期：　年　月　日</w:t>
      </w:r>
      <w:r>
        <w:rPr>
          <w:rFonts w:hint="eastAsia" w:ascii="宋体" w:hAnsi="宋体" w:eastAsia="宋体" w:cs="宋体"/>
          <w:color w:val="000000"/>
          <w:sz w:val="21"/>
          <w:szCs w:val="21"/>
          <w:highlight w:val="none"/>
        </w:rPr>
      </w:r>
      <w:r/>
    </w:p>
    <w:p>
      <w:pPr>
        <w:pStyle w:val="844"/>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84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844"/>
        <w:ind w:left="0" w:right="0"/>
        <w:keepLines w:val="0"/>
        <w:keepNext w:val="0"/>
        <w:spacing w:before="0" w:beforeAutospacing="0" w:after="0" w:afterAutospacing="0" w:line="48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r>
      <w:r/>
    </w:p>
    <w:p>
      <w:pPr>
        <w:pStyle w:val="852"/>
        <w:spacing w:line="360" w:lineRule="auto"/>
        <w:rPr>
          <w:rFonts w:hint="eastAsia"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6</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line="300" w:lineRule="auto"/>
        <w:rPr>
          <w:rFonts w:ascii="宋体" w:hAnsi="宋体"/>
          <w:b/>
          <w:bCs/>
          <w:color w:val="000000"/>
          <w:szCs w:val="21"/>
          <w:highlight w:val="none"/>
        </w:rPr>
      </w:pPr>
      <w:r/>
      <w:bookmarkStart w:id="30" w:name="_Hlk15905960"/>
      <w:r>
        <w:rPr>
          <w:rFonts w:ascii="宋体" w:hAnsi="宋体"/>
          <w:b/>
          <w:bCs/>
          <w:color w:val="000000"/>
          <w:szCs w:val="21"/>
          <w:highlight w:val="none"/>
        </w:rPr>
        <w:t xml:space="preserve">响应单位与其他单位存在控股、管理关系情况表</w:t>
      </w:r>
      <w:bookmarkEnd w:id="30"/>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829"/>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829"/>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32"/>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2"/>
        <w:spacing w:line="300" w:lineRule="auto"/>
        <w:rPr>
          <w:rFonts w:ascii="宋体" w:hAnsi="宋体"/>
          <w:color w:val="000000"/>
          <w:szCs w:val="21"/>
          <w:highlight w:val="none"/>
        </w:rPr>
      </w:pPr>
      <w:r>
        <w:rPr>
          <w:rFonts w:ascii="宋体" w:hAnsi="宋体"/>
          <w:color w:val="000000"/>
          <w:szCs w:val="21"/>
          <w:highlight w:val="none"/>
        </w:rPr>
      </w:r>
      <w:r/>
    </w:p>
    <w:p>
      <w:pPr>
        <w:pStyle w:val="844"/>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29"/>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829"/>
        <w:rPr>
          <w:color w:val="000000"/>
          <w:highlight w:val="none"/>
        </w:rPr>
      </w:pPr>
      <w:r>
        <w:rPr>
          <w:color w:val="000000"/>
          <w:highlight w:val="none"/>
        </w:r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ans-serif">
    <w:panose1 w:val="020B0503020202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Bdr>
        <w:between w:val="none" w:color="000000" w:sz="8" w:space="0"/>
      </w:pBdr>
      <w:framePr w:wrap="around" w:vAnchor="text" w:hAnchor="margin" w:xAlign="center" w:y="1"/>
    </w:pPr>
    <w:r>
      <w:rPr>
        <w:rStyle w:val="847"/>
      </w:rPr>
      <w:fldChar w:fldCharType="begin"/>
    </w:r>
    <w:r>
      <w:rPr>
        <w:rStyle w:val="847"/>
      </w:rPr>
      <w:instrText xml:space="preserve"> PAGE </w:instrText>
    </w:r>
    <w:r>
      <w:rPr>
        <w:rStyle w:val="847"/>
      </w:rPr>
      <w:fldChar w:fldCharType="separate"/>
    </w:r>
    <w:r>
      <w:rPr>
        <w:rStyle w:val="847"/>
      </w:rPr>
      <w:t xml:space="preserve">- 24 -</w:t>
    </w:r>
    <w:r>
      <w:rPr>
        <w:rStyle w:val="847"/>
      </w:rPr>
      <w:fldChar w:fldCharType="end"/>
    </w:r>
    <w:r/>
  </w:p>
  <w:p>
    <w:pPr>
      <w:pStyle w:val="8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9"/>
    <w:next w:val="829"/>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29"/>
    <w:next w:val="829"/>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29"/>
    <w:next w:val="829"/>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character" w:styleId="658">
    <w:name w:val="Heading 4 Char"/>
    <w:link w:val="862"/>
    <w:uiPriority w:val="9"/>
    <w:rPr>
      <w:rFonts w:ascii="Arial" w:hAnsi="Arial" w:eastAsia="Arial" w:cs="Arial"/>
      <w:b/>
      <w:bCs/>
      <w:sz w:val="26"/>
      <w:szCs w:val="26"/>
    </w:rPr>
  </w:style>
  <w:style w:type="paragraph" w:styleId="659">
    <w:name w:val="Heading 5"/>
    <w:basedOn w:val="829"/>
    <w:next w:val="829"/>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link w:val="659"/>
    <w:uiPriority w:val="9"/>
    <w:rPr>
      <w:rFonts w:ascii="Arial" w:hAnsi="Arial" w:eastAsia="Arial" w:cs="Arial"/>
      <w:b/>
      <w:bCs/>
      <w:sz w:val="24"/>
      <w:szCs w:val="24"/>
    </w:rPr>
  </w:style>
  <w:style w:type="paragraph" w:styleId="661">
    <w:name w:val="Heading 6"/>
    <w:basedOn w:val="829"/>
    <w:next w:val="829"/>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link w:val="661"/>
    <w:uiPriority w:val="9"/>
    <w:rPr>
      <w:rFonts w:ascii="Arial" w:hAnsi="Arial" w:eastAsia="Arial" w:cs="Arial"/>
      <w:b/>
      <w:bCs/>
      <w:sz w:val="22"/>
      <w:szCs w:val="22"/>
    </w:rPr>
  </w:style>
  <w:style w:type="paragraph" w:styleId="663">
    <w:name w:val="Heading 7"/>
    <w:basedOn w:val="829"/>
    <w:next w:val="829"/>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link w:val="663"/>
    <w:uiPriority w:val="9"/>
    <w:rPr>
      <w:rFonts w:ascii="Arial" w:hAnsi="Arial" w:eastAsia="Arial" w:cs="Arial"/>
      <w:b/>
      <w:bCs/>
      <w:i/>
      <w:iCs/>
      <w:sz w:val="22"/>
      <w:szCs w:val="22"/>
    </w:rPr>
  </w:style>
  <w:style w:type="paragraph" w:styleId="665">
    <w:name w:val="Heading 8"/>
    <w:basedOn w:val="829"/>
    <w:next w:val="829"/>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link w:val="665"/>
    <w:uiPriority w:val="9"/>
    <w:rPr>
      <w:rFonts w:ascii="Arial" w:hAnsi="Arial" w:eastAsia="Arial" w:cs="Arial"/>
      <w:i/>
      <w:iCs/>
      <w:sz w:val="22"/>
      <w:szCs w:val="22"/>
    </w:rPr>
  </w:style>
  <w:style w:type="paragraph" w:styleId="667">
    <w:name w:val="Heading 9"/>
    <w:basedOn w:val="829"/>
    <w:next w:val="829"/>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link w:val="667"/>
    <w:uiPriority w:val="9"/>
    <w:rPr>
      <w:rFonts w:ascii="Arial" w:hAnsi="Arial" w:eastAsia="Arial" w:cs="Arial"/>
      <w:i/>
      <w:iCs/>
      <w:sz w:val="21"/>
      <w:szCs w:val="21"/>
    </w:rPr>
  </w:style>
  <w:style w:type="paragraph" w:styleId="669">
    <w:name w:val="List Paragraph"/>
    <w:basedOn w:val="829"/>
    <w:uiPriority w:val="34"/>
    <w:qFormat/>
    <w:pPr>
      <w:contextualSpacing/>
      <w:ind w:left="720"/>
    </w:pPr>
  </w:style>
  <w:style w:type="paragraph" w:styleId="670">
    <w:name w:val="No Spacing"/>
    <w:uiPriority w:val="1"/>
    <w:qFormat/>
    <w:pPr>
      <w:spacing w:before="0" w:after="0" w:line="240" w:lineRule="auto"/>
    </w:pPr>
  </w:style>
  <w:style w:type="paragraph" w:styleId="671">
    <w:name w:val="Title"/>
    <w:basedOn w:val="829"/>
    <w:next w:val="829"/>
    <w:link w:val="672"/>
    <w:uiPriority w:val="10"/>
    <w:qFormat/>
    <w:pPr>
      <w:contextualSpacing/>
      <w:spacing w:before="300" w:after="200"/>
    </w:pPr>
    <w:rPr>
      <w:sz w:val="48"/>
      <w:szCs w:val="48"/>
    </w:rPr>
  </w:style>
  <w:style w:type="character" w:styleId="672">
    <w:name w:val="Title Char"/>
    <w:link w:val="671"/>
    <w:uiPriority w:val="10"/>
    <w:rPr>
      <w:sz w:val="48"/>
      <w:szCs w:val="48"/>
    </w:rPr>
  </w:style>
  <w:style w:type="paragraph" w:styleId="673">
    <w:name w:val="Subtitle"/>
    <w:basedOn w:val="829"/>
    <w:next w:val="829"/>
    <w:link w:val="674"/>
    <w:uiPriority w:val="11"/>
    <w:qFormat/>
    <w:pPr>
      <w:spacing w:before="200" w:after="200"/>
    </w:pPr>
    <w:rPr>
      <w:sz w:val="24"/>
      <w:szCs w:val="24"/>
    </w:rPr>
  </w:style>
  <w:style w:type="character" w:styleId="674">
    <w:name w:val="Subtitle Char"/>
    <w:link w:val="673"/>
    <w:uiPriority w:val="11"/>
    <w:rPr>
      <w:sz w:val="24"/>
      <w:szCs w:val="24"/>
    </w:rPr>
  </w:style>
  <w:style w:type="paragraph" w:styleId="675">
    <w:name w:val="Quote"/>
    <w:basedOn w:val="829"/>
    <w:next w:val="829"/>
    <w:link w:val="676"/>
    <w:uiPriority w:val="29"/>
    <w:qFormat/>
    <w:pPr>
      <w:ind w:left="720" w:right="720"/>
    </w:pPr>
    <w:rPr>
      <w:i/>
    </w:rPr>
  </w:style>
  <w:style w:type="character" w:styleId="676">
    <w:name w:val="Quote Char"/>
    <w:link w:val="675"/>
    <w:uiPriority w:val="29"/>
    <w:rPr>
      <w:i/>
    </w:rPr>
  </w:style>
  <w:style w:type="paragraph" w:styleId="677">
    <w:name w:val="Intense Quote"/>
    <w:basedOn w:val="829"/>
    <w:next w:val="829"/>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paragraph" w:styleId="679">
    <w:name w:val="Header"/>
    <w:basedOn w:val="829"/>
    <w:link w:val="680"/>
    <w:uiPriority w:val="99"/>
    <w:unhideWhenUsed/>
    <w:pPr>
      <w:spacing w:after="0" w:line="240" w:lineRule="auto"/>
      <w:tabs>
        <w:tab w:val="center" w:pos="7143" w:leader="none"/>
        <w:tab w:val="right" w:pos="14287" w:leader="none"/>
      </w:tabs>
    </w:pPr>
  </w:style>
  <w:style w:type="character" w:styleId="680">
    <w:name w:val="Header Char"/>
    <w:link w:val="679"/>
    <w:uiPriority w:val="99"/>
  </w:style>
  <w:style w:type="paragraph" w:styleId="681">
    <w:name w:val="Footer"/>
    <w:basedOn w:val="829"/>
    <w:link w:val="684"/>
    <w:uiPriority w:val="99"/>
    <w:unhideWhenUsed/>
    <w:pPr>
      <w:spacing w:after="0" w:line="240" w:lineRule="auto"/>
      <w:tabs>
        <w:tab w:val="center" w:pos="7143" w:leader="none"/>
        <w:tab w:val="right" w:pos="14287" w:leader="none"/>
      </w:tabs>
    </w:pPr>
  </w:style>
  <w:style w:type="character" w:styleId="682">
    <w:name w:val="Footer Char"/>
    <w:link w:val="681"/>
    <w:uiPriority w:val="99"/>
  </w:style>
  <w:style w:type="paragraph" w:styleId="683">
    <w:name w:val="Caption"/>
    <w:basedOn w:val="829"/>
    <w:next w:val="829"/>
    <w:uiPriority w:val="35"/>
    <w:semiHidden/>
    <w:unhideWhenUsed/>
    <w:qFormat/>
    <w:pPr>
      <w:spacing w:line="276" w:lineRule="auto"/>
    </w:pPr>
    <w:rPr>
      <w:b/>
      <w:bCs/>
      <w:color w:val="4f81bd" w:themeColor="accent1"/>
      <w:sz w:val="18"/>
      <w:szCs w:val="18"/>
    </w:rPr>
  </w:style>
  <w:style w:type="character" w:styleId="684">
    <w:name w:val="Caption Char"/>
    <w:basedOn w:val="683"/>
    <w:link w:val="681"/>
    <w:uiPriority w:val="99"/>
  </w:style>
  <w:style w:type="table" w:styleId="6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29"/>
    <w:link w:val="829"/>
    <w:qFormat/>
    <w:pPr>
      <w:jc w:val="both"/>
      <w:widowControl w:val="off"/>
    </w:pPr>
    <w:rPr>
      <w:sz w:val="21"/>
      <w:szCs w:val="24"/>
      <w:lang w:val="en-US" w:eastAsia="zh-CN" w:bidi="ar-SA"/>
    </w:rPr>
  </w:style>
  <w:style w:type="character" w:styleId="830">
    <w:name w:val="默认段落字体"/>
    <w:next w:val="830"/>
    <w:link w:val="829"/>
    <w:semiHidden/>
  </w:style>
  <w:style w:type="table" w:styleId="831">
    <w:name w:val="普通表格"/>
    <w:next w:val="831"/>
    <w:link w:val="829"/>
    <w:semiHidden/>
    <w:tblPr/>
  </w:style>
  <w:style w:type="paragraph" w:styleId="832">
    <w:name w:val="正文缩进"/>
    <w:basedOn w:val="829"/>
    <w:next w:val="832"/>
    <w:link w:val="829"/>
    <w:pPr>
      <w:ind w:firstLine="420"/>
      <w:jc w:val="both"/>
      <w:widowControl w:val="off"/>
    </w:pPr>
    <w:rPr>
      <w:szCs w:val="20"/>
    </w:rPr>
  </w:style>
  <w:style w:type="paragraph" w:styleId="833">
    <w:name w:val="批注文字"/>
    <w:basedOn w:val="829"/>
    <w:next w:val="833"/>
    <w:link w:val="829"/>
    <w:pPr>
      <w:jc w:val="left"/>
    </w:pPr>
  </w:style>
  <w:style w:type="paragraph" w:styleId="834">
    <w:name w:val="正文文本"/>
    <w:basedOn w:val="829"/>
    <w:next w:val="832"/>
    <w:link w:val="829"/>
    <w:pPr>
      <w:spacing w:after="120"/>
    </w:pPr>
    <w:rPr>
      <w:rFonts w:ascii="Times New Roman" w:hAnsi="Times New Roman" w:eastAsia="宋体" w:cs="Times New Roman"/>
    </w:rPr>
  </w:style>
  <w:style w:type="paragraph" w:styleId="835">
    <w:name w:val="正文文本缩进"/>
    <w:basedOn w:val="829"/>
    <w:next w:val="829"/>
    <w:link w:val="829"/>
    <w:qFormat/>
    <w:pPr>
      <w:ind w:firstLine="425"/>
      <w:spacing w:line="360" w:lineRule="auto"/>
    </w:pPr>
    <w:rPr>
      <w:sz w:val="24"/>
      <w:szCs w:val="20"/>
    </w:rPr>
  </w:style>
  <w:style w:type="paragraph" w:styleId="836">
    <w:name w:val="文本块"/>
    <w:basedOn w:val="829"/>
    <w:next w:val="836"/>
    <w:link w:val="829"/>
    <w:pPr>
      <w:ind w:left="630" w:right="-609" w:firstLine="420"/>
      <w:spacing w:line="360" w:lineRule="auto"/>
    </w:pPr>
    <w:rPr>
      <w:rFonts w:hint="eastAsia" w:ascii="仿宋_GB2312" w:hAnsi="Times New Roman" w:eastAsia="仿宋_GB2312" w:cs="Times New Roman"/>
      <w:szCs w:val="20"/>
    </w:rPr>
  </w:style>
  <w:style w:type="paragraph" w:styleId="837">
    <w:name w:val="纯文本"/>
    <w:basedOn w:val="829"/>
    <w:next w:val="837"/>
    <w:link w:val="829"/>
    <w:pPr>
      <w:jc w:val="left"/>
      <w:widowControl/>
    </w:pPr>
    <w:rPr>
      <w:rFonts w:ascii="宋体" w:hAnsi="Courier New" w:eastAsia="楷体_GB2312" w:cs="Times New Roman"/>
      <w:sz w:val="26"/>
    </w:rPr>
  </w:style>
  <w:style w:type="paragraph" w:styleId="838">
    <w:name w:val="批注框文本"/>
    <w:basedOn w:val="829"/>
    <w:next w:val="838"/>
    <w:link w:val="839"/>
    <w:rPr>
      <w:sz w:val="18"/>
      <w:szCs w:val="18"/>
    </w:rPr>
  </w:style>
  <w:style w:type="character" w:styleId="839">
    <w:name w:val="批注框文本 字符"/>
    <w:next w:val="839"/>
    <w:link w:val="838"/>
    <w:rPr>
      <w:sz w:val="18"/>
      <w:szCs w:val="18"/>
    </w:rPr>
  </w:style>
  <w:style w:type="paragraph" w:styleId="840">
    <w:name w:val="页脚"/>
    <w:basedOn w:val="829"/>
    <w:next w:val="840"/>
    <w:link w:val="829"/>
    <w:pPr>
      <w:jc w:val="left"/>
      <w:tabs>
        <w:tab w:val="center" w:pos="4153" w:leader="none"/>
        <w:tab w:val="right" w:pos="8306" w:leader="none"/>
      </w:tabs>
    </w:pPr>
    <w:rPr>
      <w:sz w:val="18"/>
      <w:szCs w:val="18"/>
    </w:rPr>
  </w:style>
  <w:style w:type="paragraph" w:styleId="841">
    <w:name w:val="寄信人地址"/>
    <w:basedOn w:val="829"/>
    <w:next w:val="841"/>
    <w:link w:val="829"/>
    <w:qFormat/>
    <w:rPr>
      <w:rFonts w:ascii="Arial" w:hAnsi="Arial" w:eastAsia="楷体_GB2312"/>
      <w:sz w:val="26"/>
      <w:szCs w:val="20"/>
    </w:rPr>
  </w:style>
  <w:style w:type="paragraph" w:styleId="842">
    <w:name w:val="页眉"/>
    <w:basedOn w:val="829"/>
    <w:next w:val="842"/>
    <w:link w:val="82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3">
    <w:name w:val="正文文本缩进 3"/>
    <w:basedOn w:val="829"/>
    <w:next w:val="843"/>
    <w:link w:val="829"/>
    <w:pPr>
      <w:ind w:firstLine="480"/>
      <w:jc w:val="left"/>
      <w:spacing w:line="440" w:lineRule="atLeast"/>
    </w:pPr>
    <w:rPr>
      <w:rFonts w:ascii="Times New Roman" w:hAnsi="Times New Roman" w:eastAsia="宋体" w:cs="Times New Roman"/>
      <w:sz w:val="24"/>
    </w:rPr>
  </w:style>
  <w:style w:type="paragraph" w:styleId="844">
    <w:name w:val="普通(网站)"/>
    <w:basedOn w:val="829"/>
    <w:next w:val="844"/>
    <w:link w:val="829"/>
    <w:uiPriority w:val="99"/>
    <w:qFormat/>
    <w:pPr>
      <w:jc w:val="left"/>
      <w:spacing w:beforeAutospacing="1" w:afterAutospacing="1"/>
    </w:pPr>
    <w:rPr>
      <w:rFonts w:cs="Times New Roman"/>
      <w:sz w:val="24"/>
    </w:rPr>
  </w:style>
  <w:style w:type="table" w:styleId="845">
    <w:name w:val="网格型"/>
    <w:basedOn w:val="831"/>
    <w:next w:val="845"/>
    <w:link w:val="829"/>
    <w:uiPriority w:val="59"/>
    <w:qFormat/>
    <w:tblPr/>
  </w:style>
  <w:style w:type="character" w:styleId="846">
    <w:name w:val="要点"/>
    <w:next w:val="846"/>
    <w:link w:val="829"/>
    <w:qFormat/>
    <w:rPr>
      <w:rFonts w:ascii="Calibri" w:hAnsi="Calibri" w:eastAsia="宋体" w:cs="Times New Roman"/>
      <w:b/>
    </w:rPr>
  </w:style>
  <w:style w:type="character" w:styleId="847">
    <w:name w:val="页码"/>
    <w:next w:val="847"/>
    <w:link w:val="829"/>
  </w:style>
  <w:style w:type="character" w:styleId="848">
    <w:name w:val="强调"/>
    <w:basedOn w:val="830"/>
    <w:next w:val="848"/>
    <w:link w:val="829"/>
    <w:qFormat/>
    <w:rPr>
      <w:i/>
    </w:rPr>
  </w:style>
  <w:style w:type="character" w:styleId="849">
    <w:name w:val="超链接"/>
    <w:next w:val="849"/>
    <w:link w:val="829"/>
    <w:uiPriority w:val="99"/>
    <w:rPr>
      <w:color w:val="0000ff"/>
      <w:u w:val="single"/>
    </w:rPr>
  </w:style>
  <w:style w:type="paragraph" w:styleId="850">
    <w:name w:val="段"/>
    <w:next w:val="829"/>
    <w:link w:val="829"/>
    <w:qFormat/>
    <w:pPr>
      <w:ind w:firstLine="200"/>
      <w:jc w:val="both"/>
      <w:spacing w:line="360" w:lineRule="auto"/>
    </w:pPr>
    <w:rPr>
      <w:rFonts w:ascii="宋体"/>
      <w:sz w:val="24"/>
      <w:szCs w:val="22"/>
      <w:lang w:val="en-US" w:eastAsia="zh-CN" w:bidi="ar-SA"/>
    </w:rPr>
  </w:style>
  <w:style w:type="paragraph" w:styleId="851">
    <w:name w:val="纯文本4"/>
    <w:basedOn w:val="829"/>
    <w:next w:val="851"/>
    <w:link w:val="829"/>
    <w:qFormat/>
    <w:rPr>
      <w:rFonts w:ascii="宋体" w:hAnsi="Courier New" w:eastAsia="楷体_GB2312" w:cs="Times New Roman"/>
      <w:sz w:val="26"/>
      <w:szCs w:val="20"/>
    </w:rPr>
  </w:style>
  <w:style w:type="paragraph" w:styleId="852">
    <w:name w:val="Plain Text"/>
    <w:basedOn w:val="829"/>
    <w:next w:val="852"/>
    <w:link w:val="829"/>
    <w:qFormat/>
    <w:rPr>
      <w:rFonts w:ascii="宋体" w:hAnsi="Courier New" w:eastAsia="楷体_GB2312"/>
      <w:sz w:val="26"/>
      <w:szCs w:val="20"/>
    </w:rPr>
  </w:style>
  <w:style w:type="paragraph" w:styleId="853">
    <w:name w:val="纯文本1"/>
    <w:basedOn w:val="829"/>
    <w:next w:val="853"/>
    <w:link w:val="829"/>
    <w:qFormat/>
    <w:pPr>
      <w:jc w:val="both"/>
      <w:widowControl w:val="off"/>
    </w:pPr>
    <w:rPr>
      <w:rFonts w:hint="eastAsia" w:ascii="宋体" w:hAnsi="Courier New" w:eastAsia="楷体_GB2312"/>
      <w:sz w:val="28"/>
      <w:szCs w:val="20"/>
    </w:rPr>
  </w:style>
  <w:style w:type="paragraph" w:styleId="854">
    <w:name w:val="Plain Text1"/>
    <w:basedOn w:val="829"/>
    <w:next w:val="854"/>
    <w:link w:val="829"/>
    <w:uiPriority w:val="99"/>
    <w:qFormat/>
    <w:pPr>
      <w:jc w:val="both"/>
      <w:widowControl w:val="off"/>
    </w:pPr>
    <w:rPr>
      <w:rFonts w:hint="eastAsia" w:ascii="宋体" w:hAnsi="Courier New" w:eastAsia="楷体_GB2312"/>
      <w:sz w:val="28"/>
      <w:szCs w:val="20"/>
    </w:rPr>
  </w:style>
  <w:style w:type="paragraph" w:styleId="855">
    <w:name w:val="纯文本2"/>
    <w:basedOn w:val="829"/>
    <w:next w:val="855"/>
    <w:link w:val="829"/>
    <w:qFormat/>
    <w:rPr>
      <w:rFonts w:ascii="宋体" w:hAnsi="Courier New" w:eastAsia="宋体" w:cs="Times New Roman"/>
    </w:rPr>
  </w:style>
  <w:style w:type="paragraph" w:styleId="856">
    <w:name w:val="纯文本111"/>
    <w:basedOn w:val="829"/>
    <w:next w:val="856"/>
    <w:link w:val="829"/>
    <w:qFormat/>
    <w:rPr>
      <w:rFonts w:ascii="宋体" w:hAnsi="Courier New"/>
    </w:rPr>
  </w:style>
  <w:style w:type="paragraph" w:styleId="857">
    <w:name w:val="列出段落"/>
    <w:basedOn w:val="829"/>
    <w:next w:val="857"/>
    <w:link w:val="829"/>
    <w:uiPriority w:val="99"/>
    <w:qFormat/>
    <w:pPr>
      <w:ind w:firstLine="420"/>
    </w:pPr>
  </w:style>
  <w:style w:type="paragraph" w:styleId="858">
    <w:name w:val="纯文本3"/>
    <w:basedOn w:val="829"/>
    <w:next w:val="858"/>
    <w:link w:val="829"/>
    <w:qFormat/>
    <w:rPr>
      <w:rFonts w:ascii="宋体" w:hAnsi="Courier New" w:eastAsia="楷体_GB2312"/>
      <w:sz w:val="26"/>
      <w:szCs w:val="22"/>
    </w:rPr>
  </w:style>
  <w:style w:type="paragraph" w:styleId="859">
    <w:name w:val=" Char Char Char Char"/>
    <w:basedOn w:val="829"/>
    <w:next w:val="859"/>
    <w:link w:val="829"/>
    <w:pPr>
      <w:jc w:val="left"/>
      <w:spacing w:after="160" w:line="240" w:lineRule="exact"/>
      <w:widowControl/>
    </w:pPr>
    <w:rPr>
      <w:rFonts w:eastAsia="仿宋_GB2312"/>
      <w:sz w:val="32"/>
    </w:rPr>
  </w:style>
  <w:style w:type="paragraph" w:styleId="860">
    <w:name w:val="正文首行缩进 21"/>
    <w:basedOn w:val="861"/>
    <w:next w:val="860"/>
    <w:link w:val="829"/>
    <w:qFormat/>
    <w:pPr>
      <w:ind w:firstLine="420"/>
    </w:pPr>
    <w:rPr>
      <w:rFonts w:eastAsia="楷体_GB2312"/>
      <w:sz w:val="28"/>
    </w:rPr>
  </w:style>
  <w:style w:type="paragraph" w:styleId="861">
    <w:name w:val="正文文本缩进1"/>
    <w:basedOn w:val="829"/>
    <w:next w:val="829"/>
    <w:link w:val="829"/>
    <w:qFormat/>
    <w:pPr>
      <w:ind w:left="420"/>
      <w:spacing w:after="120"/>
    </w:pPr>
  </w:style>
  <w:style w:type="paragraph" w:styleId="862">
    <w:name w:val="Heading 4"/>
    <w:basedOn w:val="829"/>
    <w:next w:val="829"/>
    <w:link w:val="829"/>
    <w:qFormat/>
    <w:pPr>
      <w:keepNext/>
      <w:outlineLvl w:val="3"/>
    </w:pPr>
    <w:rPr>
      <w:sz w:val="28"/>
      <w:szCs w:val="20"/>
    </w:rPr>
  </w:style>
  <w:style w:type="character" w:styleId="863">
    <w:name w:val="font11"/>
    <w:next w:val="863"/>
    <w:link w:val="829"/>
    <w:qFormat/>
    <w:rPr>
      <w:rFonts w:hint="eastAsia" w:ascii="宋体" w:hAnsi="宋体" w:eastAsia="宋体" w:cs="宋体"/>
      <w:color w:val="000000"/>
      <w:sz w:val="21"/>
      <w:szCs w:val="21"/>
      <w:u w:val="none"/>
    </w:rPr>
  </w:style>
  <w:style w:type="character" w:styleId="864">
    <w:name w:val="NormalCharacter1"/>
    <w:next w:val="864"/>
    <w:link w:val="829"/>
    <w:qFormat/>
  </w:style>
  <w:style w:type="character" w:styleId="865" w:default="1">
    <w:name w:val="Default Paragraph Font"/>
    <w:uiPriority w:val="1"/>
    <w:semiHidden/>
    <w:unhideWhenUsed/>
  </w:style>
  <w:style w:type="numbering" w:styleId="866" w:default="1">
    <w:name w:val="No List"/>
    <w:uiPriority w:val="99"/>
    <w:semiHidden/>
    <w:unhideWhenUsed/>
  </w:style>
  <w:style w:type="table" w:styleId="8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顾王旭</cp:lastModifiedBy>
  <cp:revision>6</cp:revision>
  <dcterms:created xsi:type="dcterms:W3CDTF">2023-04-26T07:49:00Z</dcterms:created>
  <dcterms:modified xsi:type="dcterms:W3CDTF">2026-01-09T02:44:11Z</dcterms:modified>
</cp:coreProperties>
</file>